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47317" w14:textId="2BC40AE5" w:rsidR="00960C29" w:rsidRPr="003C141C" w:rsidRDefault="00750E5F" w:rsidP="003C141C">
      <w:pPr>
        <w:pStyle w:val="Heading1"/>
        <w:spacing w:before="0" w:beforeAutospacing="0" w:after="0" w:afterAutospacing="0"/>
        <w:jc w:val="both"/>
        <w:rPr>
          <w:rFonts w:asciiTheme="majorHAnsi" w:hAnsiTheme="majorHAnsi" w:cstheme="majorHAnsi"/>
          <w:color w:val="0033CC"/>
          <w:sz w:val="24"/>
          <w:szCs w:val="24"/>
        </w:rPr>
      </w:pPr>
      <w:r w:rsidRPr="003C141C">
        <w:rPr>
          <w:rFonts w:asciiTheme="majorHAnsi" w:hAnsiTheme="majorHAnsi" w:cstheme="majorHAnsi"/>
          <w:color w:val="0033CC"/>
          <w:sz w:val="24"/>
          <w:szCs w:val="24"/>
        </w:rPr>
        <w:t xml:space="preserve">Title: </w:t>
      </w:r>
      <w:r w:rsidR="007C55D3" w:rsidRPr="003C141C">
        <w:rPr>
          <w:rFonts w:asciiTheme="majorHAnsi" w:hAnsiTheme="majorHAnsi" w:cstheme="majorHAnsi"/>
          <w:color w:val="0033CC"/>
          <w:sz w:val="24"/>
          <w:szCs w:val="24"/>
        </w:rPr>
        <w:t>Achieve healthy longevity – from molecular mechanisms to clinic and the society (</w:t>
      </w:r>
      <w:r w:rsidR="007C55D3" w:rsidRPr="003C141C">
        <w:rPr>
          <w:rFonts w:asciiTheme="majorHAnsi" w:eastAsia="Microsoft JhengHei" w:hAnsiTheme="majorHAnsi" w:cstheme="majorHAnsi"/>
          <w:color w:val="0033CC"/>
          <w:sz w:val="24"/>
          <w:szCs w:val="24"/>
        </w:rPr>
        <w:t>实现</w:t>
      </w:r>
      <w:r w:rsidR="007C55D3" w:rsidRPr="003C141C">
        <w:rPr>
          <w:rFonts w:asciiTheme="majorHAnsi" w:eastAsia="MS Mincho" w:hAnsiTheme="majorHAnsi" w:cstheme="majorHAnsi"/>
          <w:color w:val="0033CC"/>
          <w:sz w:val="24"/>
          <w:szCs w:val="24"/>
        </w:rPr>
        <w:t>健康</w:t>
      </w:r>
      <w:r w:rsidR="007C55D3" w:rsidRPr="003C141C">
        <w:rPr>
          <w:rFonts w:asciiTheme="majorHAnsi" w:eastAsia="Microsoft JhengHei" w:hAnsiTheme="majorHAnsi" w:cstheme="majorHAnsi"/>
          <w:color w:val="0033CC"/>
          <w:sz w:val="24"/>
          <w:szCs w:val="24"/>
        </w:rPr>
        <w:t>长</w:t>
      </w:r>
      <w:r w:rsidR="007C55D3" w:rsidRPr="003C141C">
        <w:rPr>
          <w:rFonts w:asciiTheme="majorHAnsi" w:eastAsia="MS Mincho" w:hAnsiTheme="majorHAnsi" w:cstheme="majorHAnsi"/>
          <w:color w:val="0033CC"/>
          <w:sz w:val="24"/>
          <w:szCs w:val="24"/>
        </w:rPr>
        <w:t>寿</w:t>
      </w:r>
      <w:r w:rsidR="007C55D3" w:rsidRPr="003C141C">
        <w:rPr>
          <w:rFonts w:asciiTheme="majorHAnsi" w:eastAsia="MS Mincho" w:hAnsiTheme="majorHAnsi" w:cstheme="majorHAnsi"/>
          <w:color w:val="0033CC"/>
          <w:sz w:val="24"/>
          <w:szCs w:val="24"/>
        </w:rPr>
        <w:t xml:space="preserve"> </w:t>
      </w:r>
      <w:r w:rsidR="007C55D3" w:rsidRPr="003C141C">
        <w:rPr>
          <w:rFonts w:asciiTheme="majorHAnsi" w:hAnsiTheme="majorHAnsi" w:cstheme="majorHAnsi"/>
          <w:color w:val="0033CC"/>
          <w:sz w:val="24"/>
          <w:szCs w:val="24"/>
        </w:rPr>
        <w:t xml:space="preserve">– </w:t>
      </w:r>
      <w:r w:rsidR="007C55D3" w:rsidRPr="003C141C">
        <w:rPr>
          <w:rFonts w:asciiTheme="majorHAnsi" w:eastAsia="MS Mincho" w:hAnsiTheme="majorHAnsi" w:cstheme="majorHAnsi"/>
          <w:color w:val="0033CC"/>
          <w:sz w:val="24"/>
          <w:szCs w:val="24"/>
        </w:rPr>
        <w:t>从分子机制到</w:t>
      </w:r>
      <w:r w:rsidR="007C55D3" w:rsidRPr="003C141C">
        <w:rPr>
          <w:rFonts w:asciiTheme="majorHAnsi" w:eastAsia="Microsoft JhengHei" w:hAnsiTheme="majorHAnsi" w:cstheme="majorHAnsi"/>
          <w:color w:val="0033CC"/>
          <w:sz w:val="24"/>
          <w:szCs w:val="24"/>
        </w:rPr>
        <w:t>临</w:t>
      </w:r>
      <w:r w:rsidR="007C55D3" w:rsidRPr="003C141C">
        <w:rPr>
          <w:rFonts w:asciiTheme="majorHAnsi" w:eastAsia="MS Mincho" w:hAnsiTheme="majorHAnsi" w:cstheme="majorHAnsi"/>
          <w:color w:val="0033CC"/>
          <w:sz w:val="24"/>
          <w:szCs w:val="24"/>
        </w:rPr>
        <w:t>床和社会</w:t>
      </w:r>
      <w:r w:rsidR="007C55D3" w:rsidRPr="003C141C">
        <w:rPr>
          <w:rFonts w:asciiTheme="majorHAnsi" w:hAnsiTheme="majorHAnsi" w:cstheme="majorHAnsi"/>
          <w:color w:val="0033CC"/>
          <w:sz w:val="24"/>
          <w:szCs w:val="24"/>
        </w:rPr>
        <w:t>)</w:t>
      </w:r>
    </w:p>
    <w:p w14:paraId="5FEE6248" w14:textId="2BD9E540" w:rsidR="00316AB3" w:rsidRPr="003C141C" w:rsidRDefault="00316AB3" w:rsidP="002306BD">
      <w:pPr>
        <w:pStyle w:val="Heading1"/>
        <w:spacing w:before="0" w:beforeAutospacing="0" w:after="0" w:afterAutospacing="0"/>
        <w:rPr>
          <w:rFonts w:asciiTheme="majorHAnsi" w:hAnsiTheme="majorHAnsi" w:cstheme="majorHAnsi"/>
          <w:color w:val="0033CC"/>
          <w:sz w:val="24"/>
          <w:szCs w:val="24"/>
        </w:rPr>
      </w:pPr>
    </w:p>
    <w:p w14:paraId="5B8DB8FB" w14:textId="634D67FD" w:rsidR="007A4C1B" w:rsidRPr="007A4C1B" w:rsidRDefault="007A4C1B" w:rsidP="007A4C1B">
      <w:pPr>
        <w:jc w:val="both"/>
        <w:rPr>
          <w:rFonts w:asciiTheme="majorHAnsi" w:hAnsiTheme="majorHAnsi" w:cstheme="majorHAnsi"/>
          <w:color w:val="0033CC"/>
          <w:lang w:val="en-US"/>
        </w:rPr>
      </w:pPr>
      <w:r w:rsidRPr="007A4C1B">
        <w:rPr>
          <w:rFonts w:asciiTheme="majorHAnsi" w:hAnsiTheme="majorHAnsi" w:cstheme="majorHAnsi"/>
          <w:color w:val="0033CC"/>
          <w:lang w:val="en-US"/>
        </w:rPr>
        <w:t>Evandro Fei FANG-STAVEM (</w:t>
      </w:r>
      <w:proofErr w:type="spellStart"/>
      <w:r w:rsidRPr="007A4C1B">
        <w:rPr>
          <w:rFonts w:asciiTheme="majorHAnsi" w:hAnsiTheme="majorHAnsi" w:cstheme="majorHAnsi" w:hint="eastAsia"/>
          <w:color w:val="0033CC"/>
          <w:lang w:val="nb-NO"/>
        </w:rPr>
        <w:t>方飛</w:t>
      </w:r>
      <w:proofErr w:type="spellEnd"/>
      <w:r w:rsidRPr="007A4C1B">
        <w:rPr>
          <w:rFonts w:asciiTheme="majorHAnsi" w:hAnsiTheme="majorHAnsi" w:cstheme="majorHAnsi"/>
          <w:color w:val="0033CC"/>
          <w:lang w:val="en-US"/>
        </w:rPr>
        <w:t xml:space="preserve">), DNVA (Fellow, </w:t>
      </w:r>
      <w:proofErr w:type="spellStart"/>
      <w:r w:rsidRPr="007A4C1B">
        <w:rPr>
          <w:rFonts w:asciiTheme="majorHAnsi" w:hAnsiTheme="majorHAnsi" w:cstheme="majorHAnsi" w:hint="eastAsia"/>
          <w:color w:val="0033CC"/>
          <w:lang w:val="nb-NO"/>
        </w:rPr>
        <w:t>挪威科學與文學院院士</w:t>
      </w:r>
      <w:proofErr w:type="spellEnd"/>
      <w:r w:rsidRPr="007A4C1B">
        <w:rPr>
          <w:rFonts w:asciiTheme="majorHAnsi" w:hAnsiTheme="majorHAnsi" w:cstheme="majorHAnsi"/>
          <w:color w:val="0033CC"/>
          <w:lang w:val="en-US"/>
        </w:rPr>
        <w:t>)</w:t>
      </w:r>
    </w:p>
    <w:p w14:paraId="66FE5D1B" w14:textId="0BFF19AE" w:rsidR="007A4C1B" w:rsidRPr="007A4C1B" w:rsidRDefault="007A4C1B" w:rsidP="007A4C1B">
      <w:pPr>
        <w:jc w:val="both"/>
        <w:rPr>
          <w:rFonts w:asciiTheme="majorHAnsi" w:hAnsiTheme="majorHAnsi" w:cstheme="majorHAnsi"/>
          <w:color w:val="0033CC"/>
        </w:rPr>
      </w:pPr>
      <w:r w:rsidRPr="003C141C">
        <w:rPr>
          <w:rFonts w:asciiTheme="majorHAnsi" w:hAnsiTheme="majorHAnsi" w:cstheme="majorHAnsi"/>
          <w:b/>
          <w:noProof/>
          <w:color w:val="0033CC"/>
          <w:sz w:val="22"/>
          <w:szCs w:val="22"/>
        </w:rPr>
        <w:drawing>
          <wp:anchor distT="0" distB="0" distL="114300" distR="114300" simplePos="0" relativeHeight="251658240" behindDoc="0" locked="0" layoutInCell="1" allowOverlap="1" wp14:anchorId="155C9BC1" wp14:editId="5488E5E0">
            <wp:simplePos x="0" y="0"/>
            <wp:positionH relativeFrom="margin">
              <wp:align>right</wp:align>
            </wp:positionH>
            <wp:positionV relativeFrom="paragraph">
              <wp:posOffset>-2540</wp:posOffset>
            </wp:positionV>
            <wp:extent cx="1294765" cy="1294765"/>
            <wp:effectExtent l="0" t="0" r="635" b="635"/>
            <wp:wrapNone/>
            <wp:docPr id="3" name="Picture 3" descr="\\platon\med-klinmed-u3\evandrof\pc\Desktop\EvandroFang_portrait 2022-05-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ton\med-klinmed-u3\evandrof\pc\Desktop\EvandroFang_portrait 2022-05-30.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94765" cy="1294765"/>
                    </a:xfrm>
                    <a:prstGeom prst="rect">
                      <a:avLst/>
                    </a:prstGeom>
                    <a:noFill/>
                    <a:ln>
                      <a:noFill/>
                    </a:ln>
                  </pic:spPr>
                </pic:pic>
              </a:graphicData>
            </a:graphic>
          </wp:anchor>
        </w:drawing>
      </w:r>
      <w:r w:rsidRPr="007A4C1B">
        <w:rPr>
          <w:rFonts w:asciiTheme="majorHAnsi" w:hAnsiTheme="majorHAnsi" w:cstheme="majorHAnsi"/>
          <w:color w:val="0033CC"/>
        </w:rPr>
        <w:t xml:space="preserve">Professor of Gerontology and Neuroscience </w:t>
      </w:r>
    </w:p>
    <w:p w14:paraId="4746D28A" w14:textId="7F7131A0" w:rsidR="007A4C1B" w:rsidRPr="007A4C1B" w:rsidRDefault="007A4C1B" w:rsidP="007A4C1B">
      <w:pPr>
        <w:jc w:val="both"/>
        <w:rPr>
          <w:rFonts w:asciiTheme="majorHAnsi" w:hAnsiTheme="majorHAnsi" w:cstheme="majorHAnsi"/>
          <w:color w:val="0033CC"/>
        </w:rPr>
      </w:pPr>
      <w:r w:rsidRPr="007A4C1B">
        <w:rPr>
          <w:rFonts w:asciiTheme="majorHAnsi" w:hAnsiTheme="majorHAnsi" w:cstheme="majorHAnsi"/>
          <w:color w:val="0033CC"/>
        </w:rPr>
        <w:t>Co-coordinator: NO-Age and NO-AD</w:t>
      </w:r>
    </w:p>
    <w:p w14:paraId="0307CA09" w14:textId="4C313D02" w:rsidR="007A4C1B" w:rsidRPr="007A4C1B" w:rsidRDefault="007A4C1B" w:rsidP="007A4C1B">
      <w:pPr>
        <w:jc w:val="both"/>
        <w:rPr>
          <w:rFonts w:asciiTheme="majorHAnsi" w:hAnsiTheme="majorHAnsi" w:cstheme="majorHAnsi"/>
          <w:color w:val="0033CC"/>
        </w:rPr>
      </w:pPr>
      <w:r w:rsidRPr="007A4C1B">
        <w:rPr>
          <w:rFonts w:asciiTheme="majorHAnsi" w:hAnsiTheme="majorHAnsi" w:cstheme="majorHAnsi"/>
          <w:color w:val="0033CC"/>
        </w:rPr>
        <w:t>Faculty of Medicine, University of Oslo</w:t>
      </w:r>
    </w:p>
    <w:p w14:paraId="6F9DA879" w14:textId="0CA9F9EC" w:rsidR="00666C20" w:rsidRPr="007A4C1B" w:rsidRDefault="007A4C1B" w:rsidP="007A4C1B">
      <w:pPr>
        <w:jc w:val="both"/>
        <w:rPr>
          <w:rFonts w:asciiTheme="majorHAnsi" w:hAnsiTheme="majorHAnsi" w:cstheme="majorHAnsi"/>
          <w:color w:val="0033CC"/>
          <w:lang w:val="pt-PT"/>
        </w:rPr>
      </w:pPr>
      <w:r w:rsidRPr="007A4C1B">
        <w:rPr>
          <w:rFonts w:asciiTheme="majorHAnsi" w:hAnsiTheme="majorHAnsi" w:cstheme="majorHAnsi"/>
          <w:color w:val="0033CC"/>
          <w:lang w:val="pt-PT"/>
        </w:rPr>
        <w:t>E-mail: e.f.fang@medisin.uio.no</w:t>
      </w:r>
    </w:p>
    <w:p w14:paraId="64F67A08" w14:textId="77777777" w:rsidR="007A4C1B" w:rsidRDefault="007A4C1B" w:rsidP="00750E5F">
      <w:pPr>
        <w:jc w:val="both"/>
        <w:rPr>
          <w:rFonts w:asciiTheme="majorHAnsi" w:hAnsiTheme="majorHAnsi" w:cstheme="majorHAnsi"/>
          <w:b/>
          <w:color w:val="0033CC"/>
        </w:rPr>
      </w:pPr>
    </w:p>
    <w:p w14:paraId="4A41846F" w14:textId="77777777" w:rsidR="007A4C1B" w:rsidRDefault="007A4C1B" w:rsidP="00750E5F">
      <w:pPr>
        <w:jc w:val="both"/>
        <w:rPr>
          <w:rFonts w:asciiTheme="majorHAnsi" w:hAnsiTheme="majorHAnsi" w:cstheme="majorHAnsi"/>
          <w:b/>
          <w:color w:val="0033CC"/>
        </w:rPr>
      </w:pPr>
    </w:p>
    <w:p w14:paraId="5FDE187F" w14:textId="5EB46989" w:rsidR="00750E5F" w:rsidRPr="003C141C" w:rsidRDefault="00750E5F" w:rsidP="00750E5F">
      <w:pPr>
        <w:jc w:val="both"/>
        <w:rPr>
          <w:rFonts w:asciiTheme="majorHAnsi" w:hAnsiTheme="majorHAnsi" w:cstheme="majorHAnsi"/>
          <w:b/>
          <w:color w:val="0033CC"/>
        </w:rPr>
      </w:pPr>
      <w:r w:rsidRPr="003C141C">
        <w:rPr>
          <w:rFonts w:asciiTheme="majorHAnsi" w:hAnsiTheme="majorHAnsi" w:cstheme="majorHAnsi"/>
          <w:b/>
          <w:color w:val="0033CC"/>
        </w:rPr>
        <w:t>Abstract</w:t>
      </w:r>
      <w:r w:rsidR="00093A45" w:rsidRPr="003C141C">
        <w:rPr>
          <w:rFonts w:asciiTheme="majorHAnsi" w:hAnsiTheme="majorHAnsi" w:cstheme="majorHAnsi"/>
          <w:b/>
          <w:color w:val="0033CC"/>
        </w:rPr>
        <w:t xml:space="preserve"> </w:t>
      </w:r>
    </w:p>
    <w:p w14:paraId="1AD4AD8C" w14:textId="4DB24905" w:rsidR="00C754A4" w:rsidRPr="003C141C" w:rsidRDefault="00C754A4" w:rsidP="00C754A4">
      <w:pPr>
        <w:jc w:val="both"/>
        <w:rPr>
          <w:rFonts w:asciiTheme="majorHAnsi" w:hAnsiTheme="majorHAnsi" w:cstheme="majorHAnsi"/>
        </w:rPr>
      </w:pPr>
      <w:r w:rsidRPr="003C141C">
        <w:rPr>
          <w:rFonts w:asciiTheme="majorHAnsi" w:hAnsiTheme="majorHAnsi" w:cstheme="majorHAnsi"/>
        </w:rPr>
        <w:t xml:space="preserve">Why </w:t>
      </w:r>
      <w:r w:rsidR="00AE13F3" w:rsidRPr="003C141C">
        <w:rPr>
          <w:rFonts w:asciiTheme="majorHAnsi" w:hAnsiTheme="majorHAnsi" w:cstheme="majorHAnsi"/>
        </w:rPr>
        <w:t xml:space="preserve">do </w:t>
      </w:r>
      <w:r w:rsidRPr="003C141C">
        <w:rPr>
          <w:rFonts w:asciiTheme="majorHAnsi" w:hAnsiTheme="majorHAnsi" w:cstheme="majorHAnsi"/>
        </w:rPr>
        <w:t xml:space="preserve">we age and how </w:t>
      </w:r>
      <w:r w:rsidR="00AE13F3" w:rsidRPr="003C141C">
        <w:rPr>
          <w:rFonts w:asciiTheme="majorHAnsi" w:hAnsiTheme="majorHAnsi" w:cstheme="majorHAnsi"/>
        </w:rPr>
        <w:t xml:space="preserve">can </w:t>
      </w:r>
      <w:r w:rsidRPr="003C141C">
        <w:rPr>
          <w:rFonts w:asciiTheme="majorHAnsi" w:hAnsiTheme="majorHAnsi" w:cstheme="majorHAnsi"/>
        </w:rPr>
        <w:t>we age successfully? To address these questions, we need to understand the sophisticated and multi-layered nature of biological ageing.</w:t>
      </w:r>
      <w:r w:rsidR="00EE43D7" w:rsidRPr="003C141C">
        <w:rPr>
          <w:rFonts w:asciiTheme="majorHAnsi" w:hAnsiTheme="majorHAnsi" w:cstheme="majorHAnsi"/>
        </w:rPr>
        <w:t xml:space="preserve"> One cause of ageing is compromised autophagy.</w:t>
      </w:r>
      <w:r w:rsidR="00E84B9E" w:rsidRPr="003C141C">
        <w:rPr>
          <w:rFonts w:asciiTheme="majorHAnsi" w:hAnsiTheme="majorHAnsi" w:cstheme="majorHAnsi"/>
        </w:rPr>
        <w:t xml:space="preserve"> </w:t>
      </w:r>
      <w:r w:rsidRPr="003C141C">
        <w:rPr>
          <w:rFonts w:asciiTheme="majorHAnsi" w:hAnsiTheme="majorHAnsi" w:cstheme="majorHAnsi"/>
        </w:rPr>
        <w:t xml:space="preserve">In this lecture, I will share the mechanisms of autophagy and the linkage </w:t>
      </w:r>
      <w:r w:rsidR="00AE13F3" w:rsidRPr="003C141C">
        <w:rPr>
          <w:rFonts w:asciiTheme="majorHAnsi" w:hAnsiTheme="majorHAnsi" w:cstheme="majorHAnsi"/>
        </w:rPr>
        <w:t>between</w:t>
      </w:r>
      <w:r w:rsidRPr="003C141C">
        <w:rPr>
          <w:rFonts w:asciiTheme="majorHAnsi" w:hAnsiTheme="majorHAnsi" w:cstheme="majorHAnsi"/>
        </w:rPr>
        <w:t xml:space="preserve"> compromised autophagy (especially mitophagy) </w:t>
      </w:r>
      <w:r w:rsidR="00AE13F3" w:rsidRPr="003C141C">
        <w:rPr>
          <w:rFonts w:asciiTheme="majorHAnsi" w:hAnsiTheme="majorHAnsi" w:cstheme="majorHAnsi"/>
        </w:rPr>
        <w:t xml:space="preserve">and </w:t>
      </w:r>
      <w:r w:rsidRPr="003C141C">
        <w:rPr>
          <w:rFonts w:asciiTheme="majorHAnsi" w:hAnsiTheme="majorHAnsi" w:cstheme="majorHAnsi"/>
        </w:rPr>
        <w:t xml:space="preserve">ageing and </w:t>
      </w:r>
      <w:r w:rsidR="00AE13F3" w:rsidRPr="003C141C">
        <w:rPr>
          <w:rFonts w:asciiTheme="majorHAnsi" w:hAnsiTheme="majorHAnsi" w:cstheme="majorHAnsi"/>
        </w:rPr>
        <w:t>several other conditions,</w:t>
      </w:r>
      <w:r w:rsidRPr="003C141C">
        <w:rPr>
          <w:rFonts w:asciiTheme="majorHAnsi" w:hAnsiTheme="majorHAnsi" w:cstheme="majorHAnsi"/>
        </w:rPr>
        <w:t xml:space="preserve"> with a focus on neurodegenerative diseases. Publicly accessible approaches </w:t>
      </w:r>
      <w:r w:rsidR="007A4C1B">
        <w:rPr>
          <w:rFonts w:asciiTheme="majorHAnsi" w:hAnsiTheme="majorHAnsi" w:cstheme="majorHAnsi"/>
        </w:rPr>
        <w:t>from</w:t>
      </w:r>
      <w:r w:rsidRPr="003C141C">
        <w:rPr>
          <w:rFonts w:asciiTheme="majorHAnsi" w:hAnsiTheme="majorHAnsi" w:cstheme="majorHAnsi"/>
        </w:rPr>
        <w:t xml:space="preserve"> calorie restriction</w:t>
      </w:r>
      <w:r w:rsidR="007A4C1B">
        <w:rPr>
          <w:rFonts w:asciiTheme="majorHAnsi" w:hAnsiTheme="majorHAnsi" w:cstheme="majorHAnsi"/>
        </w:rPr>
        <w:t xml:space="preserve"> to</w:t>
      </w:r>
      <w:r w:rsidRPr="003C141C">
        <w:rPr>
          <w:rFonts w:asciiTheme="majorHAnsi" w:hAnsiTheme="majorHAnsi" w:cstheme="majorHAnsi"/>
        </w:rPr>
        <w:t xml:space="preserve"> exercise and natural molecules </w:t>
      </w:r>
      <w:r w:rsidR="007A4C1B">
        <w:rPr>
          <w:rFonts w:asciiTheme="majorHAnsi" w:hAnsiTheme="majorHAnsi" w:cstheme="majorHAnsi"/>
        </w:rPr>
        <w:t>(</w:t>
      </w:r>
      <w:r w:rsidRPr="003C141C">
        <w:rPr>
          <w:rFonts w:asciiTheme="majorHAnsi" w:hAnsiTheme="majorHAnsi" w:cstheme="majorHAnsi"/>
        </w:rPr>
        <w:t>such as NAD</w:t>
      </w:r>
      <w:r w:rsidRPr="003C141C">
        <w:rPr>
          <w:rFonts w:asciiTheme="majorHAnsi" w:hAnsiTheme="majorHAnsi" w:cstheme="majorHAnsi"/>
          <w:vertAlign w:val="superscript"/>
        </w:rPr>
        <w:t>+</w:t>
      </w:r>
      <w:r w:rsidRPr="003C141C">
        <w:rPr>
          <w:rFonts w:asciiTheme="majorHAnsi" w:hAnsiTheme="majorHAnsi" w:cstheme="majorHAnsi"/>
        </w:rPr>
        <w:t xml:space="preserve"> precursors, urolithin A, and a small molecule EFF-AA from passion fruit</w:t>
      </w:r>
      <w:r w:rsidR="007A4C1B">
        <w:rPr>
          <w:rFonts w:asciiTheme="majorHAnsi" w:hAnsiTheme="majorHAnsi" w:cstheme="majorHAnsi"/>
        </w:rPr>
        <w:t>)</w:t>
      </w:r>
      <w:r w:rsidRPr="003C141C">
        <w:rPr>
          <w:rFonts w:asciiTheme="majorHAnsi" w:hAnsiTheme="majorHAnsi" w:cstheme="majorHAnsi"/>
        </w:rPr>
        <w:t xml:space="preserve"> hold promise </w:t>
      </w:r>
      <w:r w:rsidR="00AE13F3" w:rsidRPr="003C141C">
        <w:rPr>
          <w:rFonts w:asciiTheme="majorHAnsi" w:hAnsiTheme="majorHAnsi" w:cstheme="majorHAnsi"/>
        </w:rPr>
        <w:t xml:space="preserve">for </w:t>
      </w:r>
      <w:r w:rsidRPr="003C141C">
        <w:rPr>
          <w:rFonts w:asciiTheme="majorHAnsi" w:hAnsiTheme="majorHAnsi" w:cstheme="majorHAnsi"/>
        </w:rPr>
        <w:t>slow</w:t>
      </w:r>
      <w:r w:rsidR="00AE13F3" w:rsidRPr="003C141C">
        <w:rPr>
          <w:rFonts w:asciiTheme="majorHAnsi" w:hAnsiTheme="majorHAnsi" w:cstheme="majorHAnsi"/>
        </w:rPr>
        <w:t>ing</w:t>
      </w:r>
      <w:r w:rsidRPr="003C141C">
        <w:rPr>
          <w:rFonts w:asciiTheme="majorHAnsi" w:hAnsiTheme="majorHAnsi" w:cstheme="majorHAnsi"/>
        </w:rPr>
        <w:t xml:space="preserve"> down ageing and dementia, likely at least partially via mitophagy induction. </w:t>
      </w:r>
      <w:r w:rsidR="00E84B9E" w:rsidRPr="003C141C">
        <w:rPr>
          <w:rFonts w:asciiTheme="majorHAnsi" w:hAnsiTheme="majorHAnsi" w:cstheme="majorHAnsi"/>
        </w:rPr>
        <w:t xml:space="preserve">I will also give an update on our translational progress, including </w:t>
      </w:r>
      <w:r w:rsidRPr="003C141C">
        <w:rPr>
          <w:rFonts w:asciiTheme="majorHAnsi" w:hAnsiTheme="majorHAnsi" w:cstheme="majorHAnsi"/>
        </w:rPr>
        <w:t>NAD</w:t>
      </w:r>
      <w:r w:rsidRPr="003C141C">
        <w:rPr>
          <w:rFonts w:asciiTheme="majorHAnsi" w:hAnsiTheme="majorHAnsi" w:cstheme="majorHAnsi"/>
          <w:vertAlign w:val="superscript"/>
        </w:rPr>
        <w:t>+</w:t>
      </w:r>
      <w:r w:rsidRPr="003C141C">
        <w:rPr>
          <w:rFonts w:asciiTheme="majorHAnsi" w:hAnsiTheme="majorHAnsi" w:cstheme="majorHAnsi"/>
        </w:rPr>
        <w:t xml:space="preserve">-based clinical trials </w:t>
      </w:r>
      <w:r w:rsidR="00AE13F3" w:rsidRPr="003C141C">
        <w:rPr>
          <w:rFonts w:asciiTheme="majorHAnsi" w:hAnsiTheme="majorHAnsi" w:cstheme="majorHAnsi"/>
        </w:rPr>
        <w:t>investigating the treatment of conditions such as</w:t>
      </w:r>
      <w:r w:rsidRPr="003C141C">
        <w:rPr>
          <w:rFonts w:asciiTheme="majorHAnsi" w:hAnsiTheme="majorHAnsi" w:cstheme="majorHAnsi"/>
        </w:rPr>
        <w:t xml:space="preserve"> premature ageing </w:t>
      </w:r>
      <w:r w:rsidR="007A4C1B">
        <w:rPr>
          <w:rFonts w:asciiTheme="majorHAnsi" w:hAnsiTheme="majorHAnsi" w:cstheme="majorHAnsi"/>
        </w:rPr>
        <w:t xml:space="preserve">and </w:t>
      </w:r>
      <w:r w:rsidRPr="003C141C">
        <w:rPr>
          <w:rFonts w:asciiTheme="majorHAnsi" w:hAnsiTheme="majorHAnsi" w:cstheme="majorHAnsi"/>
        </w:rPr>
        <w:t xml:space="preserve">brain diseases, and </w:t>
      </w:r>
      <w:r w:rsidR="00E84B9E" w:rsidRPr="003C141C">
        <w:rPr>
          <w:rFonts w:asciiTheme="majorHAnsi" w:hAnsiTheme="majorHAnsi" w:cstheme="majorHAnsi"/>
        </w:rPr>
        <w:t>the applications of autophagy</w:t>
      </w:r>
      <w:r w:rsidRPr="003C141C">
        <w:rPr>
          <w:rFonts w:asciiTheme="majorHAnsi" w:hAnsiTheme="majorHAnsi" w:cstheme="majorHAnsi"/>
        </w:rPr>
        <w:t xml:space="preserve"> proteins and NAD</w:t>
      </w:r>
      <w:r w:rsidRPr="003C141C">
        <w:rPr>
          <w:rFonts w:asciiTheme="majorHAnsi" w:hAnsiTheme="majorHAnsi" w:cstheme="majorHAnsi"/>
          <w:vertAlign w:val="superscript"/>
        </w:rPr>
        <w:t>+</w:t>
      </w:r>
      <w:r w:rsidRPr="003C141C">
        <w:rPr>
          <w:rFonts w:asciiTheme="majorHAnsi" w:hAnsiTheme="majorHAnsi" w:cstheme="majorHAnsi"/>
        </w:rPr>
        <w:t xml:space="preserve"> pathway intermediates as biomarkers of disease progression</w:t>
      </w:r>
      <w:r w:rsidR="00E84B9E" w:rsidRPr="003C141C">
        <w:rPr>
          <w:rFonts w:asciiTheme="majorHAnsi" w:hAnsiTheme="majorHAnsi" w:cstheme="majorHAnsi"/>
        </w:rPr>
        <w:t xml:space="preserve">; progress on </w:t>
      </w:r>
      <w:r w:rsidRPr="003C141C">
        <w:rPr>
          <w:rFonts w:asciiTheme="majorHAnsi" w:hAnsiTheme="majorHAnsi" w:cstheme="majorHAnsi"/>
        </w:rPr>
        <w:t>a Phase II trial looking into the potential benefits of urolithin A for A</w:t>
      </w:r>
      <w:r w:rsidR="00AE13F3" w:rsidRPr="003C141C">
        <w:rPr>
          <w:rFonts w:asciiTheme="majorHAnsi" w:hAnsiTheme="majorHAnsi" w:cstheme="majorHAnsi"/>
        </w:rPr>
        <w:t>lzheimer’s</w:t>
      </w:r>
      <w:r w:rsidRPr="003C141C">
        <w:rPr>
          <w:rFonts w:asciiTheme="majorHAnsi" w:hAnsiTheme="majorHAnsi" w:cstheme="majorHAnsi"/>
        </w:rPr>
        <w:t xml:space="preserve"> patients</w:t>
      </w:r>
      <w:r w:rsidR="00E84B9E" w:rsidRPr="003C141C">
        <w:rPr>
          <w:rFonts w:asciiTheme="majorHAnsi" w:hAnsiTheme="majorHAnsi" w:cstheme="majorHAnsi"/>
        </w:rPr>
        <w:t xml:space="preserve"> will be covered</w:t>
      </w:r>
      <w:r w:rsidRPr="003C141C">
        <w:rPr>
          <w:rFonts w:asciiTheme="majorHAnsi" w:hAnsiTheme="majorHAnsi" w:cstheme="majorHAnsi"/>
        </w:rPr>
        <w:t xml:space="preserve">. </w:t>
      </w:r>
      <w:r w:rsidR="007C55D3" w:rsidRPr="003C141C">
        <w:rPr>
          <w:rFonts w:asciiTheme="majorHAnsi" w:hAnsiTheme="majorHAnsi" w:cstheme="majorHAnsi"/>
        </w:rPr>
        <w:t xml:space="preserve">Opportunities and strategies in addressing ageing challenges in the populational and societal levels are </w:t>
      </w:r>
      <w:r w:rsidR="003C141C">
        <w:rPr>
          <w:rFonts w:asciiTheme="majorHAnsi" w:hAnsiTheme="majorHAnsi" w:cstheme="majorHAnsi"/>
        </w:rPr>
        <w:t>included</w:t>
      </w:r>
      <w:r w:rsidRPr="003C141C">
        <w:rPr>
          <w:rFonts w:asciiTheme="majorHAnsi" w:hAnsiTheme="majorHAnsi" w:cstheme="majorHAnsi"/>
        </w:rPr>
        <w:t xml:space="preserve">. </w:t>
      </w:r>
    </w:p>
    <w:p w14:paraId="6938AF4E" w14:textId="77777777" w:rsidR="00853EBF" w:rsidRDefault="00853EBF" w:rsidP="00750E5F">
      <w:pPr>
        <w:jc w:val="both"/>
        <w:rPr>
          <w:rFonts w:ascii="Arial" w:hAnsi="Arial" w:cs="Arial"/>
        </w:rPr>
      </w:pPr>
    </w:p>
    <w:p w14:paraId="3607E003" w14:textId="78F254CD" w:rsidR="008C465E" w:rsidRPr="003C141C" w:rsidRDefault="00853EBF" w:rsidP="003C141C">
      <w:pPr>
        <w:jc w:val="both"/>
        <w:rPr>
          <w:rFonts w:asciiTheme="majorHAnsi" w:hAnsiTheme="majorHAnsi" w:cstheme="majorHAnsi"/>
          <w:lang w:val="en-US" w:eastAsia="zh-CN"/>
        </w:rPr>
      </w:pPr>
      <w:r w:rsidRPr="003C141C">
        <w:rPr>
          <w:rFonts w:asciiTheme="majorHAnsi" w:hAnsiTheme="majorHAnsi" w:cstheme="majorHAnsi"/>
          <w:b/>
          <w:color w:val="0033CC"/>
        </w:rPr>
        <w:t>Key references</w:t>
      </w:r>
    </w:p>
    <w:p w14:paraId="116FE434" w14:textId="3749AF2E" w:rsidR="002D5B95" w:rsidRPr="006B5F65" w:rsidRDefault="002D5B95" w:rsidP="002D5B95">
      <w:pPr>
        <w:jc w:val="both"/>
        <w:rPr>
          <w:rFonts w:asciiTheme="majorHAnsi" w:hAnsiTheme="majorHAnsi" w:cstheme="majorHAnsi"/>
          <w:sz w:val="20"/>
          <w:szCs w:val="20"/>
        </w:rPr>
      </w:pPr>
      <w:r>
        <w:rPr>
          <w:rFonts w:asciiTheme="majorHAnsi" w:hAnsiTheme="majorHAnsi" w:cstheme="majorHAnsi"/>
          <w:sz w:val="20"/>
          <w:szCs w:val="20"/>
          <w:lang w:val="nb-NO"/>
        </w:rPr>
        <w:t>01</w:t>
      </w:r>
      <w:r w:rsidRPr="002D5B95">
        <w:rPr>
          <w:rFonts w:asciiTheme="majorHAnsi" w:hAnsiTheme="majorHAnsi" w:cstheme="majorHAnsi"/>
          <w:sz w:val="20"/>
          <w:szCs w:val="20"/>
          <w:lang w:val="nb-NO"/>
        </w:rPr>
        <w:t xml:space="preserve">. </w:t>
      </w:r>
      <w:r w:rsidRPr="002D5B95">
        <w:rPr>
          <w:rFonts w:asciiTheme="majorHAnsi" w:hAnsiTheme="majorHAnsi" w:cstheme="majorHAnsi"/>
          <w:b/>
          <w:bCs/>
          <w:sz w:val="20"/>
          <w:szCs w:val="20"/>
          <w:lang w:val="nb-NO"/>
        </w:rPr>
        <w:t>Fang, E.F.</w:t>
      </w:r>
      <w:r w:rsidRPr="002D5B95">
        <w:rPr>
          <w:rFonts w:asciiTheme="majorHAnsi" w:hAnsiTheme="majorHAnsi" w:cstheme="majorHAnsi"/>
          <w:sz w:val="20"/>
          <w:szCs w:val="20"/>
          <w:lang w:val="nb-NO"/>
        </w:rPr>
        <w:t xml:space="preserve"> et al. </w:t>
      </w:r>
      <w:r w:rsidRPr="006B5F65">
        <w:rPr>
          <w:rFonts w:asciiTheme="majorHAnsi" w:hAnsiTheme="majorHAnsi" w:cstheme="majorHAnsi"/>
          <w:sz w:val="20"/>
          <w:szCs w:val="20"/>
        </w:rPr>
        <w:t xml:space="preserve">Defective mitophagy in XPA via PARP-1 hyperactivation and </w:t>
      </w:r>
      <w:proofErr w:type="gramStart"/>
      <w:r w:rsidRPr="006B5F65">
        <w:rPr>
          <w:rFonts w:asciiTheme="majorHAnsi" w:hAnsiTheme="majorHAnsi" w:cstheme="majorHAnsi"/>
          <w:sz w:val="20"/>
          <w:szCs w:val="20"/>
        </w:rPr>
        <w:t>NAD(</w:t>
      </w:r>
      <w:proofErr w:type="gramEnd"/>
      <w:r w:rsidRPr="006B5F65">
        <w:rPr>
          <w:rFonts w:asciiTheme="majorHAnsi" w:hAnsiTheme="majorHAnsi" w:cstheme="majorHAnsi"/>
          <w:sz w:val="20"/>
          <w:szCs w:val="20"/>
        </w:rPr>
        <w:t xml:space="preserve">+)/SIRT1 reduction. </w:t>
      </w:r>
      <w:r w:rsidRPr="006B5F65">
        <w:rPr>
          <w:rFonts w:asciiTheme="majorHAnsi" w:hAnsiTheme="majorHAnsi" w:cstheme="majorHAnsi"/>
          <w:b/>
          <w:bCs/>
          <w:sz w:val="20"/>
          <w:szCs w:val="20"/>
        </w:rPr>
        <w:t>Cell</w:t>
      </w:r>
      <w:r>
        <w:rPr>
          <w:rFonts w:asciiTheme="majorHAnsi" w:hAnsiTheme="majorHAnsi" w:cstheme="majorHAnsi"/>
          <w:sz w:val="20"/>
          <w:szCs w:val="20"/>
        </w:rPr>
        <w:t xml:space="preserve">, </w:t>
      </w:r>
      <w:r w:rsidRPr="006B5F65">
        <w:rPr>
          <w:rFonts w:asciiTheme="majorHAnsi" w:hAnsiTheme="majorHAnsi" w:cstheme="majorHAnsi"/>
          <w:sz w:val="20"/>
          <w:szCs w:val="20"/>
        </w:rPr>
        <w:t>2014.</w:t>
      </w:r>
    </w:p>
    <w:p w14:paraId="0C92610E" w14:textId="37C291B3" w:rsidR="002D5B95" w:rsidRPr="006B5F65" w:rsidRDefault="002D5B95" w:rsidP="002D5B95">
      <w:pPr>
        <w:jc w:val="both"/>
        <w:rPr>
          <w:rFonts w:asciiTheme="majorHAnsi" w:hAnsiTheme="majorHAnsi" w:cstheme="majorHAnsi"/>
          <w:sz w:val="20"/>
          <w:szCs w:val="20"/>
        </w:rPr>
      </w:pPr>
      <w:r>
        <w:rPr>
          <w:rFonts w:asciiTheme="majorHAnsi" w:hAnsiTheme="majorHAnsi" w:cstheme="majorHAnsi"/>
          <w:sz w:val="20"/>
          <w:szCs w:val="20"/>
        </w:rPr>
        <w:t>02</w:t>
      </w:r>
      <w:r w:rsidRPr="007A4C1B">
        <w:rPr>
          <w:rFonts w:asciiTheme="majorHAnsi" w:hAnsiTheme="majorHAnsi" w:cstheme="majorHAnsi"/>
          <w:sz w:val="20"/>
          <w:szCs w:val="20"/>
        </w:rPr>
        <w:t>.</w:t>
      </w:r>
      <w:r>
        <w:rPr>
          <w:rFonts w:asciiTheme="majorHAnsi" w:hAnsiTheme="majorHAnsi" w:cstheme="majorHAnsi"/>
          <w:sz w:val="20"/>
          <w:szCs w:val="20"/>
        </w:rPr>
        <w:t xml:space="preserve"> F</w:t>
      </w:r>
      <w:r w:rsidRPr="007A4C1B">
        <w:rPr>
          <w:rFonts w:asciiTheme="majorHAnsi" w:hAnsiTheme="majorHAnsi" w:cstheme="majorHAnsi"/>
          <w:b/>
          <w:bCs/>
          <w:sz w:val="20"/>
          <w:szCs w:val="20"/>
        </w:rPr>
        <w:t>ang, E.F.</w:t>
      </w:r>
      <w:r w:rsidRPr="007A4C1B">
        <w:rPr>
          <w:rFonts w:asciiTheme="majorHAnsi" w:hAnsiTheme="majorHAnsi" w:cstheme="majorHAnsi"/>
          <w:sz w:val="20"/>
          <w:szCs w:val="20"/>
        </w:rPr>
        <w:t xml:space="preserve"> et al. </w:t>
      </w:r>
      <w:proofErr w:type="gramStart"/>
      <w:r w:rsidRPr="006B5F65">
        <w:rPr>
          <w:rFonts w:asciiTheme="majorHAnsi" w:hAnsiTheme="majorHAnsi" w:cstheme="majorHAnsi"/>
          <w:sz w:val="20"/>
          <w:szCs w:val="20"/>
        </w:rPr>
        <w:t>NAD(</w:t>
      </w:r>
      <w:proofErr w:type="gramEnd"/>
      <w:r w:rsidRPr="006B5F65">
        <w:rPr>
          <w:rFonts w:asciiTheme="majorHAnsi" w:hAnsiTheme="majorHAnsi" w:cstheme="majorHAnsi"/>
          <w:sz w:val="20"/>
          <w:szCs w:val="20"/>
        </w:rPr>
        <w:t xml:space="preserve">+) Replenishment Improves Lifespan and Healthspan in Ataxia Telangiectasia Models via Mitophagy and DNA Repair. </w:t>
      </w:r>
      <w:r w:rsidRPr="006B5F65">
        <w:rPr>
          <w:rFonts w:asciiTheme="majorHAnsi" w:hAnsiTheme="majorHAnsi" w:cstheme="majorHAnsi"/>
          <w:b/>
          <w:bCs/>
          <w:sz w:val="20"/>
          <w:szCs w:val="20"/>
        </w:rPr>
        <w:t>Cell Metab</w:t>
      </w:r>
      <w:r>
        <w:rPr>
          <w:rFonts w:asciiTheme="majorHAnsi" w:hAnsiTheme="majorHAnsi" w:cstheme="majorHAnsi"/>
          <w:sz w:val="20"/>
          <w:szCs w:val="20"/>
        </w:rPr>
        <w:t xml:space="preserve">, </w:t>
      </w:r>
      <w:r w:rsidRPr="006B5F65">
        <w:rPr>
          <w:rFonts w:asciiTheme="majorHAnsi" w:hAnsiTheme="majorHAnsi" w:cstheme="majorHAnsi"/>
          <w:sz w:val="20"/>
          <w:szCs w:val="20"/>
        </w:rPr>
        <w:t>2016</w:t>
      </w:r>
      <w:r>
        <w:rPr>
          <w:rFonts w:asciiTheme="majorHAnsi" w:hAnsiTheme="majorHAnsi" w:cstheme="majorHAnsi"/>
          <w:sz w:val="20"/>
          <w:szCs w:val="20"/>
        </w:rPr>
        <w:t xml:space="preserve">. </w:t>
      </w:r>
    </w:p>
    <w:p w14:paraId="6EFED988" w14:textId="05F672C0" w:rsidR="003C141C" w:rsidRPr="006B5F65" w:rsidRDefault="002D5B95" w:rsidP="003C141C">
      <w:pPr>
        <w:jc w:val="both"/>
        <w:rPr>
          <w:rFonts w:asciiTheme="majorHAnsi" w:hAnsiTheme="majorHAnsi" w:cstheme="majorHAnsi"/>
          <w:sz w:val="20"/>
          <w:szCs w:val="20"/>
        </w:rPr>
      </w:pPr>
      <w:r>
        <w:rPr>
          <w:rFonts w:asciiTheme="majorHAnsi" w:hAnsiTheme="majorHAnsi" w:cstheme="majorHAnsi"/>
          <w:sz w:val="20"/>
          <w:szCs w:val="20"/>
          <w:lang w:val="nb-NO"/>
        </w:rPr>
        <w:t>03</w:t>
      </w:r>
      <w:r w:rsidR="003C141C" w:rsidRPr="007A4C1B">
        <w:rPr>
          <w:rFonts w:asciiTheme="majorHAnsi" w:hAnsiTheme="majorHAnsi" w:cstheme="majorHAnsi"/>
          <w:sz w:val="20"/>
          <w:szCs w:val="20"/>
          <w:lang w:val="nb-NO"/>
        </w:rPr>
        <w:t>.</w:t>
      </w:r>
      <w:r w:rsidR="007A4C1B" w:rsidRPr="007A4C1B">
        <w:rPr>
          <w:rFonts w:asciiTheme="majorHAnsi" w:hAnsiTheme="majorHAnsi" w:cstheme="majorHAnsi"/>
          <w:sz w:val="20"/>
          <w:szCs w:val="20"/>
          <w:lang w:val="nb-NO"/>
        </w:rPr>
        <w:t xml:space="preserve"> </w:t>
      </w:r>
      <w:r w:rsidR="003C141C" w:rsidRPr="007A4C1B">
        <w:rPr>
          <w:rFonts w:asciiTheme="majorHAnsi" w:hAnsiTheme="majorHAnsi" w:cstheme="majorHAnsi"/>
          <w:b/>
          <w:bCs/>
          <w:sz w:val="20"/>
          <w:szCs w:val="20"/>
          <w:lang w:val="nb-NO"/>
        </w:rPr>
        <w:t>Fang, E.F</w:t>
      </w:r>
      <w:r w:rsidR="003C141C" w:rsidRPr="007A4C1B">
        <w:rPr>
          <w:rFonts w:asciiTheme="majorHAnsi" w:hAnsiTheme="majorHAnsi" w:cstheme="majorHAnsi"/>
          <w:sz w:val="20"/>
          <w:szCs w:val="20"/>
          <w:lang w:val="nb-NO"/>
        </w:rPr>
        <w:t xml:space="preserve">. et al. </w:t>
      </w:r>
      <w:r w:rsidR="003C141C" w:rsidRPr="006B5F65">
        <w:rPr>
          <w:rFonts w:asciiTheme="majorHAnsi" w:hAnsiTheme="majorHAnsi" w:cstheme="majorHAnsi"/>
          <w:sz w:val="20"/>
          <w:szCs w:val="20"/>
        </w:rPr>
        <w:t xml:space="preserve">Mitophagy inhibits amyloid-beta and tau pathology and reverses cognitive deficits in models of Alzheimer's disease. </w:t>
      </w:r>
      <w:r w:rsidR="003C141C" w:rsidRPr="006B5F65">
        <w:rPr>
          <w:rFonts w:asciiTheme="majorHAnsi" w:hAnsiTheme="majorHAnsi" w:cstheme="majorHAnsi"/>
          <w:b/>
          <w:bCs/>
          <w:sz w:val="20"/>
          <w:szCs w:val="20"/>
        </w:rPr>
        <w:t xml:space="preserve">Nature </w:t>
      </w:r>
      <w:r w:rsidR="003C141C" w:rsidRPr="007A4C1B">
        <w:rPr>
          <w:rFonts w:asciiTheme="majorHAnsi" w:hAnsiTheme="majorHAnsi" w:cstheme="majorHAnsi"/>
          <w:b/>
          <w:bCs/>
          <w:sz w:val="20"/>
          <w:szCs w:val="20"/>
        </w:rPr>
        <w:t>Neurosci</w:t>
      </w:r>
      <w:r w:rsidR="007A4C1B" w:rsidRPr="007A4C1B">
        <w:rPr>
          <w:rFonts w:asciiTheme="majorHAnsi" w:hAnsiTheme="majorHAnsi" w:cstheme="majorHAnsi"/>
          <w:b/>
          <w:bCs/>
          <w:sz w:val="20"/>
          <w:szCs w:val="20"/>
        </w:rPr>
        <w:t>ence</w:t>
      </w:r>
      <w:r w:rsidR="007A4C1B">
        <w:rPr>
          <w:rFonts w:asciiTheme="majorHAnsi" w:hAnsiTheme="majorHAnsi" w:cstheme="majorHAnsi"/>
          <w:sz w:val="20"/>
          <w:szCs w:val="20"/>
        </w:rPr>
        <w:t xml:space="preserve">, </w:t>
      </w:r>
      <w:r w:rsidR="003C141C" w:rsidRPr="006B5F65">
        <w:rPr>
          <w:rFonts w:asciiTheme="majorHAnsi" w:hAnsiTheme="majorHAnsi" w:cstheme="majorHAnsi"/>
          <w:sz w:val="20"/>
          <w:szCs w:val="20"/>
        </w:rPr>
        <w:t>2019</w:t>
      </w:r>
      <w:r>
        <w:rPr>
          <w:rFonts w:asciiTheme="majorHAnsi" w:hAnsiTheme="majorHAnsi" w:cstheme="majorHAnsi"/>
          <w:sz w:val="20"/>
          <w:szCs w:val="20"/>
        </w:rPr>
        <w:t xml:space="preserve"> (</w:t>
      </w:r>
      <w:r>
        <w:rPr>
          <w:rFonts w:asciiTheme="majorHAnsi" w:hAnsiTheme="majorHAnsi" w:cstheme="majorHAnsi"/>
          <w:sz w:val="20"/>
          <w:szCs w:val="20"/>
          <w:lang w:val="en-US"/>
        </w:rPr>
        <w:t>highlight in Nature Rev</w:t>
      </w:r>
      <w:r>
        <w:rPr>
          <w:rFonts w:asciiTheme="majorHAnsi" w:hAnsiTheme="majorHAnsi" w:cstheme="majorHAnsi"/>
          <w:sz w:val="20"/>
          <w:szCs w:val="20"/>
          <w:lang w:val="en-US"/>
        </w:rPr>
        <w:t>.</w:t>
      </w:r>
      <w:r>
        <w:rPr>
          <w:rFonts w:asciiTheme="majorHAnsi" w:hAnsiTheme="majorHAnsi" w:cstheme="majorHAnsi"/>
          <w:sz w:val="20"/>
          <w:szCs w:val="20"/>
          <w:lang w:val="en-US"/>
        </w:rPr>
        <w:t xml:space="preserve"> </w:t>
      </w:r>
      <w:r>
        <w:rPr>
          <w:rFonts w:asciiTheme="majorHAnsi" w:hAnsiTheme="majorHAnsi" w:cstheme="majorHAnsi"/>
          <w:sz w:val="20"/>
          <w:szCs w:val="20"/>
          <w:lang w:val="en-US"/>
        </w:rPr>
        <w:t>Drug Discovery</w:t>
      </w:r>
      <w:r>
        <w:rPr>
          <w:rFonts w:asciiTheme="majorHAnsi" w:hAnsiTheme="majorHAnsi" w:cstheme="majorHAnsi"/>
          <w:sz w:val="20"/>
          <w:szCs w:val="20"/>
        </w:rPr>
        <w:t>)</w:t>
      </w:r>
      <w:r w:rsidR="007A4C1B">
        <w:rPr>
          <w:rFonts w:asciiTheme="majorHAnsi" w:hAnsiTheme="majorHAnsi" w:cstheme="majorHAnsi"/>
          <w:sz w:val="20"/>
          <w:szCs w:val="20"/>
        </w:rPr>
        <w:t>.</w:t>
      </w:r>
    </w:p>
    <w:p w14:paraId="41EC2C58" w14:textId="65A88774" w:rsidR="003C141C" w:rsidRPr="006B5F65" w:rsidRDefault="002D5B95" w:rsidP="003C141C">
      <w:pPr>
        <w:jc w:val="both"/>
        <w:rPr>
          <w:rFonts w:asciiTheme="majorHAnsi" w:hAnsiTheme="majorHAnsi" w:cstheme="majorHAnsi"/>
          <w:sz w:val="20"/>
          <w:szCs w:val="20"/>
        </w:rPr>
      </w:pPr>
      <w:r>
        <w:rPr>
          <w:rFonts w:asciiTheme="majorHAnsi" w:hAnsiTheme="majorHAnsi" w:cstheme="majorHAnsi"/>
          <w:sz w:val="20"/>
          <w:szCs w:val="20"/>
        </w:rPr>
        <w:t>04</w:t>
      </w:r>
      <w:r w:rsidR="003C141C" w:rsidRPr="006B5F65">
        <w:rPr>
          <w:rFonts w:asciiTheme="majorHAnsi" w:hAnsiTheme="majorHAnsi" w:cstheme="majorHAnsi"/>
          <w:sz w:val="20"/>
          <w:szCs w:val="20"/>
        </w:rPr>
        <w:t>.</w:t>
      </w:r>
      <w:r w:rsidR="007A4C1B">
        <w:rPr>
          <w:rFonts w:asciiTheme="majorHAnsi" w:hAnsiTheme="majorHAnsi" w:cstheme="majorHAnsi"/>
          <w:sz w:val="20"/>
          <w:szCs w:val="20"/>
        </w:rPr>
        <w:t xml:space="preserve"> </w:t>
      </w:r>
      <w:r w:rsidR="003C141C" w:rsidRPr="006B5F65">
        <w:rPr>
          <w:rFonts w:asciiTheme="majorHAnsi" w:hAnsiTheme="majorHAnsi" w:cstheme="majorHAnsi"/>
          <w:sz w:val="20"/>
          <w:szCs w:val="20"/>
        </w:rPr>
        <w:t xml:space="preserve">Lautrup, S., Sinclair, D.A., Mattson, M.P. &amp; </w:t>
      </w:r>
      <w:r w:rsidR="003C141C" w:rsidRPr="006B5F65">
        <w:rPr>
          <w:rFonts w:asciiTheme="majorHAnsi" w:hAnsiTheme="majorHAnsi" w:cstheme="majorHAnsi"/>
          <w:b/>
          <w:bCs/>
          <w:sz w:val="20"/>
          <w:szCs w:val="20"/>
        </w:rPr>
        <w:t>Fang, E.F</w:t>
      </w:r>
      <w:r w:rsidR="003C141C" w:rsidRPr="006B5F65">
        <w:rPr>
          <w:rFonts w:asciiTheme="majorHAnsi" w:hAnsiTheme="majorHAnsi" w:cstheme="majorHAnsi"/>
          <w:sz w:val="20"/>
          <w:szCs w:val="20"/>
        </w:rPr>
        <w:t xml:space="preserve">. </w:t>
      </w:r>
      <w:proofErr w:type="gramStart"/>
      <w:r w:rsidR="003C141C" w:rsidRPr="006B5F65">
        <w:rPr>
          <w:rFonts w:asciiTheme="majorHAnsi" w:hAnsiTheme="majorHAnsi" w:cstheme="majorHAnsi"/>
          <w:sz w:val="20"/>
          <w:szCs w:val="20"/>
        </w:rPr>
        <w:t>NAD(</w:t>
      </w:r>
      <w:proofErr w:type="gramEnd"/>
      <w:r w:rsidR="003C141C" w:rsidRPr="006B5F65">
        <w:rPr>
          <w:rFonts w:asciiTheme="majorHAnsi" w:hAnsiTheme="majorHAnsi" w:cstheme="majorHAnsi"/>
          <w:sz w:val="20"/>
          <w:szCs w:val="20"/>
        </w:rPr>
        <w:t xml:space="preserve">+) in Brain Aging and Neurodegenerative Disorders. </w:t>
      </w:r>
      <w:r w:rsidR="003C141C" w:rsidRPr="006B5F65">
        <w:rPr>
          <w:rFonts w:asciiTheme="majorHAnsi" w:hAnsiTheme="majorHAnsi" w:cstheme="majorHAnsi"/>
          <w:b/>
          <w:bCs/>
          <w:sz w:val="20"/>
          <w:szCs w:val="20"/>
        </w:rPr>
        <w:t>Cell Me</w:t>
      </w:r>
      <w:r w:rsidR="003C141C" w:rsidRPr="007A4C1B">
        <w:rPr>
          <w:rFonts w:asciiTheme="majorHAnsi" w:hAnsiTheme="majorHAnsi" w:cstheme="majorHAnsi"/>
          <w:b/>
          <w:bCs/>
          <w:sz w:val="20"/>
          <w:szCs w:val="20"/>
        </w:rPr>
        <w:t>tab</w:t>
      </w:r>
      <w:r w:rsidR="007A4C1B" w:rsidRPr="007A4C1B">
        <w:rPr>
          <w:rFonts w:asciiTheme="majorHAnsi" w:hAnsiTheme="majorHAnsi" w:cstheme="majorHAnsi"/>
          <w:b/>
          <w:bCs/>
          <w:sz w:val="20"/>
          <w:szCs w:val="20"/>
        </w:rPr>
        <w:t>olism</w:t>
      </w:r>
      <w:r w:rsidR="007A4C1B">
        <w:rPr>
          <w:rFonts w:asciiTheme="majorHAnsi" w:hAnsiTheme="majorHAnsi" w:cstheme="majorHAnsi"/>
          <w:sz w:val="20"/>
          <w:szCs w:val="20"/>
        </w:rPr>
        <w:t xml:space="preserve">, </w:t>
      </w:r>
      <w:r w:rsidR="003C141C" w:rsidRPr="006B5F65">
        <w:rPr>
          <w:rFonts w:asciiTheme="majorHAnsi" w:hAnsiTheme="majorHAnsi" w:cstheme="majorHAnsi"/>
          <w:sz w:val="20"/>
          <w:szCs w:val="20"/>
        </w:rPr>
        <w:t>2019.</w:t>
      </w:r>
    </w:p>
    <w:p w14:paraId="1C6E0237" w14:textId="0625D995" w:rsidR="003C141C" w:rsidRPr="006B5F65" w:rsidRDefault="002D5B95" w:rsidP="003C141C">
      <w:pPr>
        <w:jc w:val="both"/>
        <w:rPr>
          <w:rFonts w:asciiTheme="majorHAnsi" w:hAnsiTheme="majorHAnsi" w:cstheme="majorHAnsi"/>
          <w:sz w:val="20"/>
          <w:szCs w:val="20"/>
        </w:rPr>
      </w:pPr>
      <w:r>
        <w:rPr>
          <w:rFonts w:asciiTheme="majorHAnsi" w:hAnsiTheme="majorHAnsi" w:cstheme="majorHAnsi"/>
          <w:sz w:val="20"/>
          <w:szCs w:val="20"/>
        </w:rPr>
        <w:t>05</w:t>
      </w:r>
      <w:r w:rsidR="003C141C" w:rsidRPr="006B5F65">
        <w:rPr>
          <w:rFonts w:asciiTheme="majorHAnsi" w:hAnsiTheme="majorHAnsi" w:cstheme="majorHAnsi"/>
          <w:sz w:val="20"/>
          <w:szCs w:val="20"/>
        </w:rPr>
        <w:t>.</w:t>
      </w:r>
      <w:r w:rsidR="007A4C1B">
        <w:rPr>
          <w:rFonts w:asciiTheme="majorHAnsi" w:hAnsiTheme="majorHAnsi" w:cstheme="majorHAnsi"/>
          <w:sz w:val="20"/>
          <w:szCs w:val="20"/>
        </w:rPr>
        <w:t xml:space="preserve"> </w:t>
      </w:r>
      <w:r w:rsidR="003C141C" w:rsidRPr="006B5F65">
        <w:rPr>
          <w:rFonts w:asciiTheme="majorHAnsi" w:hAnsiTheme="majorHAnsi" w:cstheme="majorHAnsi"/>
          <w:sz w:val="20"/>
          <w:szCs w:val="20"/>
        </w:rPr>
        <w:t xml:space="preserve">Xie, C…. </w:t>
      </w:r>
      <w:r w:rsidR="003C141C" w:rsidRPr="006B5F65">
        <w:rPr>
          <w:rFonts w:asciiTheme="majorHAnsi" w:hAnsiTheme="majorHAnsi" w:cstheme="majorHAnsi"/>
          <w:b/>
          <w:bCs/>
          <w:sz w:val="20"/>
          <w:szCs w:val="20"/>
          <w:lang w:val="en-US"/>
        </w:rPr>
        <w:t>Fang, E.F</w:t>
      </w:r>
      <w:r w:rsidR="003C141C" w:rsidRPr="006B5F65">
        <w:rPr>
          <w:rFonts w:asciiTheme="majorHAnsi" w:hAnsiTheme="majorHAnsi" w:cstheme="majorHAnsi"/>
          <w:sz w:val="20"/>
          <w:szCs w:val="20"/>
          <w:lang w:val="en-US"/>
        </w:rPr>
        <w:t xml:space="preserve">. </w:t>
      </w:r>
      <w:r w:rsidR="003C141C" w:rsidRPr="006B5F65">
        <w:rPr>
          <w:rFonts w:asciiTheme="majorHAnsi" w:hAnsiTheme="majorHAnsi" w:cstheme="majorHAnsi"/>
          <w:sz w:val="20"/>
          <w:szCs w:val="20"/>
        </w:rPr>
        <w:t xml:space="preserve">Amelioration of Alzheimer's disease pathology by mitophagy inducers identified via machine learning and a cross-species workflow. </w:t>
      </w:r>
      <w:r w:rsidR="003C141C" w:rsidRPr="006B5F65">
        <w:rPr>
          <w:rFonts w:asciiTheme="majorHAnsi" w:hAnsiTheme="majorHAnsi" w:cstheme="majorHAnsi"/>
          <w:b/>
          <w:bCs/>
          <w:sz w:val="20"/>
          <w:szCs w:val="20"/>
        </w:rPr>
        <w:t>Nature Biomed</w:t>
      </w:r>
      <w:r w:rsidR="007A4C1B">
        <w:rPr>
          <w:rFonts w:asciiTheme="majorHAnsi" w:hAnsiTheme="majorHAnsi" w:cstheme="majorHAnsi"/>
          <w:b/>
          <w:bCs/>
          <w:sz w:val="20"/>
          <w:szCs w:val="20"/>
        </w:rPr>
        <w:t xml:space="preserve">ical </w:t>
      </w:r>
      <w:r w:rsidR="003C141C" w:rsidRPr="006B5F65">
        <w:rPr>
          <w:rFonts w:asciiTheme="majorHAnsi" w:hAnsiTheme="majorHAnsi" w:cstheme="majorHAnsi"/>
          <w:b/>
          <w:bCs/>
          <w:sz w:val="20"/>
          <w:szCs w:val="20"/>
        </w:rPr>
        <w:t>Eng</w:t>
      </w:r>
      <w:r w:rsidR="007A4C1B">
        <w:rPr>
          <w:rFonts w:asciiTheme="majorHAnsi" w:hAnsiTheme="majorHAnsi" w:cstheme="majorHAnsi"/>
          <w:b/>
          <w:bCs/>
          <w:sz w:val="20"/>
          <w:szCs w:val="20"/>
        </w:rPr>
        <w:t>ineering</w:t>
      </w:r>
      <w:r w:rsidR="007A4C1B">
        <w:rPr>
          <w:rFonts w:asciiTheme="majorHAnsi" w:hAnsiTheme="majorHAnsi" w:cstheme="majorHAnsi"/>
          <w:sz w:val="20"/>
          <w:szCs w:val="20"/>
        </w:rPr>
        <w:t xml:space="preserve">, </w:t>
      </w:r>
      <w:r w:rsidR="003C141C" w:rsidRPr="006B5F65">
        <w:rPr>
          <w:rFonts w:asciiTheme="majorHAnsi" w:hAnsiTheme="majorHAnsi" w:cstheme="majorHAnsi"/>
          <w:sz w:val="20"/>
          <w:szCs w:val="20"/>
        </w:rPr>
        <w:t>202</w:t>
      </w:r>
      <w:r w:rsidR="007A4C1B">
        <w:rPr>
          <w:rFonts w:asciiTheme="majorHAnsi" w:hAnsiTheme="majorHAnsi" w:cstheme="majorHAnsi"/>
          <w:sz w:val="20"/>
          <w:szCs w:val="20"/>
        </w:rPr>
        <w:t>2.</w:t>
      </w:r>
    </w:p>
    <w:p w14:paraId="15BE14A7" w14:textId="1BB87F56" w:rsidR="003C141C" w:rsidRPr="006B5F65" w:rsidRDefault="002D5B95" w:rsidP="003C141C">
      <w:pPr>
        <w:jc w:val="both"/>
        <w:rPr>
          <w:rFonts w:asciiTheme="majorHAnsi" w:hAnsiTheme="majorHAnsi" w:cstheme="majorHAnsi"/>
          <w:sz w:val="20"/>
          <w:szCs w:val="20"/>
        </w:rPr>
      </w:pPr>
      <w:r>
        <w:rPr>
          <w:rFonts w:asciiTheme="majorHAnsi" w:hAnsiTheme="majorHAnsi" w:cstheme="majorHAnsi"/>
          <w:sz w:val="20"/>
          <w:szCs w:val="20"/>
        </w:rPr>
        <w:t>06</w:t>
      </w:r>
      <w:r w:rsidR="003C141C" w:rsidRPr="006B5F65">
        <w:rPr>
          <w:rFonts w:asciiTheme="majorHAnsi" w:hAnsiTheme="majorHAnsi" w:cstheme="majorHAnsi"/>
          <w:sz w:val="20"/>
          <w:szCs w:val="20"/>
        </w:rPr>
        <w:t>.</w:t>
      </w:r>
      <w:r w:rsidR="007A4C1B">
        <w:rPr>
          <w:rFonts w:asciiTheme="majorHAnsi" w:hAnsiTheme="majorHAnsi" w:cstheme="majorHAnsi"/>
          <w:sz w:val="20"/>
          <w:szCs w:val="20"/>
        </w:rPr>
        <w:t xml:space="preserve"> </w:t>
      </w:r>
      <w:proofErr w:type="spellStart"/>
      <w:r w:rsidR="003C141C" w:rsidRPr="006B5F65">
        <w:rPr>
          <w:rFonts w:asciiTheme="majorHAnsi" w:hAnsiTheme="majorHAnsi" w:cstheme="majorHAnsi"/>
          <w:sz w:val="20"/>
          <w:szCs w:val="20"/>
        </w:rPr>
        <w:t>Veverova</w:t>
      </w:r>
      <w:proofErr w:type="spellEnd"/>
      <w:r w:rsidR="003C141C" w:rsidRPr="006B5F65">
        <w:rPr>
          <w:rFonts w:asciiTheme="majorHAnsi" w:hAnsiTheme="majorHAnsi" w:cstheme="majorHAnsi"/>
          <w:sz w:val="20"/>
          <w:szCs w:val="20"/>
        </w:rPr>
        <w:t>, K…</w:t>
      </w:r>
      <w:r w:rsidR="003C141C" w:rsidRPr="006B5F65">
        <w:rPr>
          <w:rFonts w:asciiTheme="majorHAnsi" w:hAnsiTheme="majorHAnsi" w:cstheme="majorHAnsi"/>
          <w:b/>
          <w:bCs/>
          <w:sz w:val="20"/>
          <w:szCs w:val="20"/>
          <w:lang w:val="en-US"/>
        </w:rPr>
        <w:t xml:space="preserve"> Fang, E.F</w:t>
      </w:r>
      <w:r w:rsidR="003C141C" w:rsidRPr="006B5F65">
        <w:rPr>
          <w:rFonts w:asciiTheme="majorHAnsi" w:hAnsiTheme="majorHAnsi" w:cstheme="majorHAnsi"/>
          <w:sz w:val="20"/>
          <w:szCs w:val="20"/>
          <w:lang w:val="en-US"/>
        </w:rPr>
        <w:t>.</w:t>
      </w:r>
      <w:r w:rsidR="003C141C" w:rsidRPr="006B5F65">
        <w:rPr>
          <w:rFonts w:asciiTheme="majorHAnsi" w:hAnsiTheme="majorHAnsi" w:cstheme="majorHAnsi"/>
          <w:sz w:val="20"/>
          <w:szCs w:val="20"/>
        </w:rPr>
        <w:t xml:space="preserve"> </w:t>
      </w:r>
      <w:r w:rsidR="003C141C" w:rsidRPr="006B5F65">
        <w:rPr>
          <w:rFonts w:asciiTheme="majorHAnsi" w:hAnsiTheme="majorHAnsi" w:cstheme="majorHAnsi"/>
          <w:sz w:val="20"/>
          <w:szCs w:val="20"/>
          <w:lang w:val="en-US"/>
        </w:rPr>
        <w:t>Vyhnálek, M.</w:t>
      </w:r>
      <w:r w:rsidR="003C141C" w:rsidRPr="006B5F65">
        <w:rPr>
          <w:rFonts w:asciiTheme="majorHAnsi" w:hAnsiTheme="majorHAnsi" w:cstheme="majorHAnsi"/>
          <w:sz w:val="20"/>
          <w:szCs w:val="20"/>
        </w:rPr>
        <w:t xml:space="preserve"> Alterations of human CSF and serum-based mitophagy biomarkers in the continuum of Alzheimer disease. </w:t>
      </w:r>
      <w:r w:rsidR="003C141C" w:rsidRPr="006B5F65">
        <w:rPr>
          <w:rFonts w:asciiTheme="majorHAnsi" w:hAnsiTheme="majorHAnsi" w:cstheme="majorHAnsi"/>
          <w:b/>
          <w:bCs/>
          <w:sz w:val="20"/>
          <w:szCs w:val="20"/>
        </w:rPr>
        <w:t>Autophagy</w:t>
      </w:r>
      <w:r w:rsidR="007A4C1B">
        <w:rPr>
          <w:rFonts w:asciiTheme="majorHAnsi" w:hAnsiTheme="majorHAnsi" w:cstheme="majorHAnsi"/>
          <w:sz w:val="20"/>
          <w:szCs w:val="20"/>
        </w:rPr>
        <w:t xml:space="preserve">, </w:t>
      </w:r>
      <w:r w:rsidR="003C141C" w:rsidRPr="006B5F65">
        <w:rPr>
          <w:rFonts w:asciiTheme="majorHAnsi" w:hAnsiTheme="majorHAnsi" w:cstheme="majorHAnsi"/>
          <w:sz w:val="20"/>
          <w:szCs w:val="20"/>
        </w:rPr>
        <w:t>2024</w:t>
      </w:r>
      <w:r w:rsidR="007A4C1B">
        <w:rPr>
          <w:rFonts w:asciiTheme="majorHAnsi" w:hAnsiTheme="majorHAnsi" w:cstheme="majorHAnsi"/>
          <w:sz w:val="20"/>
          <w:szCs w:val="20"/>
        </w:rPr>
        <w:t>.</w:t>
      </w:r>
    </w:p>
    <w:p w14:paraId="3BF0C20C" w14:textId="0FF9CD6D" w:rsidR="003C141C" w:rsidRPr="006B5F65" w:rsidRDefault="002D5B95" w:rsidP="003C141C">
      <w:pPr>
        <w:jc w:val="both"/>
        <w:rPr>
          <w:rFonts w:asciiTheme="majorHAnsi" w:hAnsiTheme="majorHAnsi" w:cstheme="majorHAnsi"/>
          <w:sz w:val="20"/>
          <w:szCs w:val="20"/>
        </w:rPr>
      </w:pPr>
      <w:r>
        <w:rPr>
          <w:rFonts w:asciiTheme="majorHAnsi" w:hAnsiTheme="majorHAnsi" w:cstheme="majorHAnsi"/>
          <w:sz w:val="20"/>
          <w:szCs w:val="20"/>
        </w:rPr>
        <w:t>0</w:t>
      </w:r>
      <w:r w:rsidR="003C141C" w:rsidRPr="006B5F65">
        <w:rPr>
          <w:rFonts w:asciiTheme="majorHAnsi" w:hAnsiTheme="majorHAnsi" w:cstheme="majorHAnsi"/>
          <w:sz w:val="20"/>
          <w:szCs w:val="20"/>
        </w:rPr>
        <w:t>7.</w:t>
      </w:r>
      <w:r w:rsidR="007A4C1B">
        <w:rPr>
          <w:rFonts w:asciiTheme="majorHAnsi" w:hAnsiTheme="majorHAnsi" w:cstheme="majorHAnsi"/>
          <w:sz w:val="20"/>
          <w:szCs w:val="20"/>
        </w:rPr>
        <w:t xml:space="preserve"> </w:t>
      </w:r>
      <w:r w:rsidR="003C141C" w:rsidRPr="006B5F65">
        <w:rPr>
          <w:rFonts w:asciiTheme="majorHAnsi" w:hAnsiTheme="majorHAnsi" w:cstheme="majorHAnsi"/>
          <w:b/>
          <w:bCs/>
          <w:sz w:val="20"/>
          <w:szCs w:val="20"/>
        </w:rPr>
        <w:t>Fang, E.F</w:t>
      </w:r>
      <w:r w:rsidR="003C141C" w:rsidRPr="006B5F65">
        <w:rPr>
          <w:rFonts w:asciiTheme="majorHAnsi" w:hAnsiTheme="majorHAnsi" w:cstheme="majorHAnsi"/>
          <w:sz w:val="20"/>
          <w:szCs w:val="20"/>
        </w:rPr>
        <w:t xml:space="preserve">., et al., Adapting health, economic and social policies to address population aging in China, </w:t>
      </w:r>
      <w:r w:rsidR="003C141C" w:rsidRPr="006B5F65">
        <w:rPr>
          <w:rFonts w:asciiTheme="majorHAnsi" w:hAnsiTheme="majorHAnsi" w:cstheme="majorHAnsi"/>
          <w:b/>
          <w:bCs/>
          <w:sz w:val="20"/>
          <w:szCs w:val="20"/>
        </w:rPr>
        <w:t>Nature Ageing</w:t>
      </w:r>
      <w:r w:rsidR="003C141C" w:rsidRPr="006B5F65">
        <w:rPr>
          <w:rFonts w:asciiTheme="majorHAnsi" w:hAnsiTheme="majorHAnsi" w:cstheme="majorHAnsi"/>
          <w:sz w:val="20"/>
          <w:szCs w:val="20"/>
        </w:rPr>
        <w:t xml:space="preserve">, </w:t>
      </w:r>
      <w:r w:rsidR="007A4C1B">
        <w:rPr>
          <w:rFonts w:asciiTheme="majorHAnsi" w:hAnsiTheme="majorHAnsi" w:cstheme="majorHAnsi"/>
          <w:sz w:val="20"/>
          <w:szCs w:val="20"/>
        </w:rPr>
        <w:t xml:space="preserve">2025. </w:t>
      </w:r>
    </w:p>
    <w:p w14:paraId="1E511C14" w14:textId="7D4A9780" w:rsidR="003C141C" w:rsidRPr="006B5F65" w:rsidRDefault="002D5B95" w:rsidP="003C141C">
      <w:pPr>
        <w:jc w:val="both"/>
        <w:rPr>
          <w:rFonts w:asciiTheme="majorHAnsi" w:hAnsiTheme="majorHAnsi" w:cstheme="majorHAnsi"/>
          <w:sz w:val="20"/>
          <w:szCs w:val="20"/>
        </w:rPr>
      </w:pPr>
      <w:r>
        <w:rPr>
          <w:rFonts w:asciiTheme="majorHAnsi" w:hAnsiTheme="majorHAnsi" w:cstheme="majorHAnsi"/>
          <w:sz w:val="20"/>
          <w:szCs w:val="20"/>
        </w:rPr>
        <w:t>0</w:t>
      </w:r>
      <w:r w:rsidR="003C141C" w:rsidRPr="006B5F65">
        <w:rPr>
          <w:rFonts w:asciiTheme="majorHAnsi" w:hAnsiTheme="majorHAnsi" w:cstheme="majorHAnsi"/>
          <w:sz w:val="20"/>
          <w:szCs w:val="20"/>
        </w:rPr>
        <w:t>8.</w:t>
      </w:r>
      <w:r w:rsidR="007A4C1B">
        <w:rPr>
          <w:rFonts w:asciiTheme="majorHAnsi" w:hAnsiTheme="majorHAnsi" w:cstheme="majorHAnsi"/>
          <w:sz w:val="20"/>
          <w:szCs w:val="20"/>
        </w:rPr>
        <w:t xml:space="preserve"> </w:t>
      </w:r>
      <w:r w:rsidR="003C141C" w:rsidRPr="006B5F65">
        <w:rPr>
          <w:rFonts w:asciiTheme="majorHAnsi" w:hAnsiTheme="majorHAnsi" w:cstheme="majorHAnsi"/>
          <w:sz w:val="20"/>
          <w:szCs w:val="20"/>
        </w:rPr>
        <w:t xml:space="preserve">Zhang, </w:t>
      </w:r>
      <w:proofErr w:type="gramStart"/>
      <w:r w:rsidR="003C141C" w:rsidRPr="006B5F65">
        <w:rPr>
          <w:rFonts w:asciiTheme="majorHAnsi" w:hAnsiTheme="majorHAnsi" w:cstheme="majorHAnsi"/>
          <w:sz w:val="20"/>
          <w:szCs w:val="20"/>
        </w:rPr>
        <w:t>J.,...</w:t>
      </w:r>
      <w:proofErr w:type="gramEnd"/>
      <w:r w:rsidR="003C141C" w:rsidRPr="006B5F65">
        <w:rPr>
          <w:rFonts w:asciiTheme="majorHAnsi" w:hAnsiTheme="majorHAnsi" w:cstheme="majorHAnsi"/>
          <w:b/>
          <w:bCs/>
          <w:sz w:val="20"/>
          <w:szCs w:val="20"/>
        </w:rPr>
        <w:t>Fang, E.F</w:t>
      </w:r>
      <w:r w:rsidR="003C141C" w:rsidRPr="006B5F65">
        <w:rPr>
          <w:rFonts w:asciiTheme="majorHAnsi" w:hAnsiTheme="majorHAnsi" w:cstheme="majorHAnsi"/>
          <w:sz w:val="20"/>
          <w:szCs w:val="20"/>
        </w:rPr>
        <w:t xml:space="preserve">. Emerging strategies, applications and challenges of targeting NAD+ in the clinic, </w:t>
      </w:r>
      <w:r w:rsidR="003C141C" w:rsidRPr="006B5F65">
        <w:rPr>
          <w:rFonts w:asciiTheme="majorHAnsi" w:hAnsiTheme="majorHAnsi" w:cstheme="majorHAnsi"/>
          <w:b/>
          <w:bCs/>
          <w:sz w:val="20"/>
          <w:szCs w:val="20"/>
        </w:rPr>
        <w:t>Nature Ageing</w:t>
      </w:r>
      <w:r w:rsidR="003C141C" w:rsidRPr="006B5F65">
        <w:rPr>
          <w:rFonts w:asciiTheme="majorHAnsi" w:hAnsiTheme="majorHAnsi" w:cstheme="majorHAnsi"/>
          <w:sz w:val="20"/>
          <w:szCs w:val="20"/>
        </w:rPr>
        <w:t xml:space="preserve">, </w:t>
      </w:r>
      <w:r w:rsidR="007A4C1B">
        <w:rPr>
          <w:rFonts w:asciiTheme="majorHAnsi" w:hAnsiTheme="majorHAnsi" w:cstheme="majorHAnsi"/>
          <w:sz w:val="20"/>
          <w:szCs w:val="20"/>
        </w:rPr>
        <w:t>2026</w:t>
      </w:r>
      <w:r w:rsidR="003C141C" w:rsidRPr="006B5F65">
        <w:rPr>
          <w:rFonts w:asciiTheme="majorHAnsi" w:hAnsiTheme="majorHAnsi" w:cstheme="majorHAnsi"/>
          <w:sz w:val="20"/>
          <w:szCs w:val="20"/>
        </w:rPr>
        <w:t xml:space="preserve">. </w:t>
      </w:r>
    </w:p>
    <w:p w14:paraId="1FA2112E" w14:textId="31A2FF97" w:rsidR="002D5B95" w:rsidRDefault="002D5B95" w:rsidP="006B5F65">
      <w:pPr>
        <w:jc w:val="both"/>
        <w:rPr>
          <w:rFonts w:asciiTheme="majorHAnsi" w:hAnsiTheme="majorHAnsi" w:cstheme="majorHAnsi"/>
          <w:sz w:val="20"/>
          <w:szCs w:val="20"/>
          <w:lang w:val="en-US"/>
        </w:rPr>
      </w:pPr>
      <w:r>
        <w:rPr>
          <w:rFonts w:asciiTheme="majorHAnsi" w:hAnsiTheme="majorHAnsi" w:cstheme="majorHAnsi"/>
          <w:sz w:val="20"/>
          <w:szCs w:val="20"/>
        </w:rPr>
        <w:t>0</w:t>
      </w:r>
      <w:r w:rsidR="003C141C" w:rsidRPr="006B5F65">
        <w:rPr>
          <w:rFonts w:asciiTheme="majorHAnsi" w:hAnsiTheme="majorHAnsi" w:cstheme="majorHAnsi"/>
          <w:sz w:val="20"/>
          <w:szCs w:val="20"/>
          <w:lang w:val="en-US"/>
        </w:rPr>
        <w:t>9. Lagartos-Donate, M.J…</w:t>
      </w:r>
      <w:r w:rsidR="003C141C" w:rsidRPr="006B5F65">
        <w:rPr>
          <w:rFonts w:asciiTheme="majorHAnsi" w:hAnsiTheme="majorHAnsi" w:cstheme="majorHAnsi"/>
          <w:b/>
          <w:bCs/>
          <w:sz w:val="20"/>
          <w:szCs w:val="20"/>
          <w:lang w:val="en-US"/>
        </w:rPr>
        <w:t>Fang, E.F.</w:t>
      </w:r>
      <w:r w:rsidR="003C141C" w:rsidRPr="006B5F65">
        <w:rPr>
          <w:rFonts w:asciiTheme="majorHAnsi" w:hAnsiTheme="majorHAnsi" w:cstheme="majorHAnsi"/>
          <w:sz w:val="20"/>
          <w:szCs w:val="20"/>
        </w:rPr>
        <w:t xml:space="preserve"> </w:t>
      </w:r>
      <w:r w:rsidR="003C141C" w:rsidRPr="006B5F65">
        <w:rPr>
          <w:rFonts w:asciiTheme="majorHAnsi" w:hAnsiTheme="majorHAnsi" w:cstheme="majorHAnsi"/>
          <w:sz w:val="20"/>
          <w:szCs w:val="20"/>
          <w:lang w:val="en-US"/>
        </w:rPr>
        <w:t xml:space="preserve">Upregulation of the NAD+-REST axis ameliorates Alzheimer’s disease, </w:t>
      </w:r>
      <w:r w:rsidR="003C141C" w:rsidRPr="006B5F65">
        <w:rPr>
          <w:rFonts w:asciiTheme="majorHAnsi" w:hAnsiTheme="majorHAnsi" w:cstheme="majorHAnsi"/>
          <w:b/>
          <w:bCs/>
          <w:sz w:val="20"/>
          <w:szCs w:val="20"/>
          <w:lang w:val="en-US"/>
        </w:rPr>
        <w:t>Brain</w:t>
      </w:r>
      <w:r w:rsidR="003C141C" w:rsidRPr="006B5F65">
        <w:rPr>
          <w:rFonts w:asciiTheme="majorHAnsi" w:hAnsiTheme="majorHAnsi" w:cstheme="majorHAnsi"/>
          <w:sz w:val="20"/>
          <w:szCs w:val="20"/>
          <w:lang w:val="en-US"/>
        </w:rPr>
        <w:t xml:space="preserve">, </w:t>
      </w:r>
      <w:r w:rsidR="007A4C1B">
        <w:rPr>
          <w:rFonts w:asciiTheme="majorHAnsi" w:hAnsiTheme="majorHAnsi" w:cstheme="majorHAnsi"/>
          <w:sz w:val="20"/>
          <w:szCs w:val="20"/>
          <w:lang w:val="en-US"/>
        </w:rPr>
        <w:t>2026</w:t>
      </w:r>
      <w:r w:rsidR="003C141C" w:rsidRPr="006B5F65">
        <w:rPr>
          <w:rFonts w:asciiTheme="majorHAnsi" w:hAnsiTheme="majorHAnsi" w:cstheme="majorHAnsi"/>
          <w:sz w:val="20"/>
          <w:szCs w:val="20"/>
          <w:lang w:val="en-US"/>
        </w:rPr>
        <w:t>.</w:t>
      </w:r>
    </w:p>
    <w:p w14:paraId="75706625" w14:textId="153282DF" w:rsidR="00853EBF" w:rsidRPr="006B5F65" w:rsidRDefault="002D5B95" w:rsidP="006B5F65">
      <w:pPr>
        <w:jc w:val="both"/>
        <w:rPr>
          <w:rStyle w:val="rphighlightallclass"/>
          <w:rFonts w:asciiTheme="majorHAnsi" w:hAnsiTheme="majorHAnsi" w:cstheme="majorHAnsi"/>
          <w:sz w:val="20"/>
          <w:szCs w:val="20"/>
          <w:lang w:val="en-US"/>
        </w:rPr>
      </w:pPr>
      <w:r>
        <w:rPr>
          <w:rFonts w:asciiTheme="majorHAnsi" w:hAnsiTheme="majorHAnsi" w:cstheme="majorHAnsi"/>
          <w:sz w:val="20"/>
          <w:szCs w:val="20"/>
          <w:lang w:val="en-US"/>
        </w:rPr>
        <w:t>10. Pan JP…</w:t>
      </w:r>
      <w:r w:rsidRPr="002D5B95">
        <w:rPr>
          <w:rFonts w:asciiTheme="majorHAnsi" w:hAnsiTheme="majorHAnsi" w:cstheme="majorHAnsi"/>
          <w:b/>
          <w:bCs/>
          <w:sz w:val="20"/>
          <w:szCs w:val="20"/>
          <w:lang w:val="en-US"/>
        </w:rPr>
        <w:t>Fang EF</w:t>
      </w:r>
      <w:r>
        <w:rPr>
          <w:rFonts w:asciiTheme="majorHAnsi" w:hAnsiTheme="majorHAnsi" w:cstheme="majorHAnsi"/>
          <w:sz w:val="20"/>
          <w:szCs w:val="20"/>
          <w:lang w:val="en-US"/>
        </w:rPr>
        <w:t xml:space="preserve">. </w:t>
      </w:r>
      <w:r w:rsidRPr="002D5B95">
        <w:rPr>
          <w:rFonts w:asciiTheme="majorHAnsi" w:hAnsiTheme="majorHAnsi" w:cstheme="majorHAnsi"/>
          <w:sz w:val="20"/>
          <w:szCs w:val="20"/>
          <w:lang w:val="en-US"/>
        </w:rPr>
        <w:t>Reduced ULK1 links impaired autophagy and mitophagy to Alzheimer's disease pathology</w:t>
      </w:r>
      <w:r>
        <w:rPr>
          <w:rFonts w:asciiTheme="majorHAnsi" w:hAnsiTheme="majorHAnsi" w:cstheme="majorHAnsi"/>
          <w:sz w:val="20"/>
          <w:szCs w:val="20"/>
          <w:lang w:val="en-US"/>
        </w:rPr>
        <w:t xml:space="preserve">, </w:t>
      </w:r>
      <w:r w:rsidRPr="002D5B95">
        <w:rPr>
          <w:rFonts w:asciiTheme="majorHAnsi" w:hAnsiTheme="majorHAnsi" w:cstheme="majorHAnsi"/>
          <w:b/>
          <w:bCs/>
          <w:sz w:val="20"/>
          <w:szCs w:val="20"/>
          <w:lang w:val="en-US"/>
        </w:rPr>
        <w:t>Nature Ageing</w:t>
      </w:r>
      <w:r>
        <w:rPr>
          <w:rFonts w:asciiTheme="majorHAnsi" w:hAnsiTheme="majorHAnsi" w:cstheme="majorHAnsi"/>
          <w:b/>
          <w:bCs/>
          <w:sz w:val="20"/>
          <w:szCs w:val="20"/>
          <w:lang w:val="en-US"/>
        </w:rPr>
        <w:t>, 2026</w:t>
      </w:r>
      <w:r>
        <w:rPr>
          <w:rFonts w:asciiTheme="majorHAnsi" w:hAnsiTheme="majorHAnsi" w:cstheme="majorHAnsi"/>
          <w:sz w:val="20"/>
          <w:szCs w:val="20"/>
          <w:lang w:val="en-US"/>
        </w:rPr>
        <w:t xml:space="preserve"> (Cover of the May 2026 Issues; highlight in Nature Reviews Neurology). </w:t>
      </w:r>
      <w:r w:rsidR="00853EBF" w:rsidRPr="003C141C">
        <w:rPr>
          <w:rStyle w:val="rphighlightallclass"/>
          <w:rFonts w:ascii="Arial" w:eastAsia="Times New Roman" w:hAnsi="Arial" w:cs="Arial"/>
          <w:b/>
          <w:color w:val="0070C0"/>
          <w:sz w:val="22"/>
          <w:szCs w:val="22"/>
          <w:lang w:val="en-US"/>
        </w:rPr>
        <w:br w:type="page"/>
      </w:r>
    </w:p>
    <w:p w14:paraId="579D53F3" w14:textId="54705B6E" w:rsidR="00FA0124" w:rsidRPr="003C141C" w:rsidRDefault="00FA0124" w:rsidP="00FA0124">
      <w:pPr>
        <w:rPr>
          <w:rStyle w:val="rphighlightallclass"/>
          <w:rFonts w:asciiTheme="majorHAnsi" w:hAnsiTheme="majorHAnsi" w:cstheme="majorHAnsi"/>
          <w:lang w:eastAsia="zh-CN"/>
        </w:rPr>
      </w:pPr>
      <w:r w:rsidRPr="003C141C">
        <w:rPr>
          <w:rStyle w:val="rphighlightallclass"/>
          <w:rFonts w:asciiTheme="majorHAnsi" w:eastAsia="Times New Roman" w:hAnsiTheme="majorHAnsi" w:cstheme="majorHAnsi"/>
          <w:b/>
          <w:color w:val="0070C0"/>
          <w:sz w:val="22"/>
          <w:szCs w:val="22"/>
          <w:lang w:val="en-US"/>
        </w:rPr>
        <w:lastRenderedPageBreak/>
        <w:t>Biography (&lt;500 words)</w:t>
      </w:r>
      <w:r w:rsidR="00192FC3" w:rsidRPr="003C141C">
        <w:rPr>
          <w:rStyle w:val="rphighlightallclass"/>
          <w:rFonts w:asciiTheme="majorHAnsi" w:eastAsia="Times New Roman" w:hAnsiTheme="majorHAnsi" w:cstheme="majorHAnsi"/>
          <w:b/>
          <w:color w:val="0070C0"/>
          <w:sz w:val="22"/>
          <w:szCs w:val="22"/>
          <w:lang w:val="en-US"/>
        </w:rPr>
        <w:t xml:space="preserve"> – please feel free to cut short for your advertisement </w:t>
      </w:r>
    </w:p>
    <w:p w14:paraId="2C9C9D14" w14:textId="0C3D45BD" w:rsidR="00451FF5" w:rsidRPr="003C141C" w:rsidRDefault="00451FF5" w:rsidP="00451FF5">
      <w:pPr>
        <w:jc w:val="both"/>
        <w:rPr>
          <w:rFonts w:asciiTheme="majorHAnsi" w:eastAsia="Times New Roman" w:hAnsiTheme="majorHAnsi" w:cstheme="majorHAnsi"/>
          <w:lang w:val="en-US"/>
        </w:rPr>
      </w:pPr>
      <w:r w:rsidRPr="003C141C">
        <w:rPr>
          <w:rStyle w:val="rphighlightallclass"/>
          <w:rFonts w:asciiTheme="majorHAnsi" w:eastAsia="Times New Roman" w:hAnsiTheme="majorHAnsi" w:cstheme="majorHAnsi"/>
          <w:lang w:val="en-US"/>
        </w:rPr>
        <w:t>Evandro F. Fang is</w:t>
      </w:r>
      <w:r w:rsidR="002D5B95">
        <w:rPr>
          <w:rStyle w:val="rphighlightallclass"/>
          <w:rFonts w:asciiTheme="majorHAnsi" w:eastAsia="Times New Roman" w:hAnsiTheme="majorHAnsi" w:cstheme="majorHAnsi"/>
          <w:lang w:val="en-US"/>
        </w:rPr>
        <w:t xml:space="preserve"> the</w:t>
      </w:r>
      <w:r w:rsidRPr="003C141C">
        <w:rPr>
          <w:rStyle w:val="rphighlightallclass"/>
          <w:rFonts w:asciiTheme="majorHAnsi" w:eastAsia="Times New Roman" w:hAnsiTheme="majorHAnsi" w:cstheme="majorHAnsi"/>
          <w:lang w:val="en-US"/>
        </w:rPr>
        <w:t xml:space="preserve"> </w:t>
      </w:r>
      <w:r w:rsidR="002D5B95" w:rsidRPr="002D5B95">
        <w:rPr>
          <w:rStyle w:val="rphighlightallclass"/>
          <w:rFonts w:asciiTheme="majorHAnsi" w:eastAsia="Times New Roman" w:hAnsiTheme="majorHAnsi" w:cstheme="majorHAnsi"/>
          <w:lang w:val="en-US"/>
        </w:rPr>
        <w:t>Professor of Gerontology and Neuroscience</w:t>
      </w:r>
      <w:r w:rsidR="002D5B95" w:rsidRPr="002D5B95">
        <w:rPr>
          <w:rStyle w:val="rphighlightallclass"/>
          <w:rFonts w:asciiTheme="majorHAnsi" w:eastAsia="Times New Roman" w:hAnsiTheme="majorHAnsi" w:cstheme="majorHAnsi"/>
          <w:lang w:val="en-US"/>
        </w:rPr>
        <w:t xml:space="preserve"> </w:t>
      </w:r>
      <w:r w:rsidRPr="003C141C">
        <w:rPr>
          <w:rStyle w:val="rphighlightallclass"/>
          <w:rFonts w:asciiTheme="majorHAnsi" w:eastAsia="Times New Roman" w:hAnsiTheme="majorHAnsi" w:cstheme="majorHAnsi"/>
          <w:lang w:val="en-US"/>
        </w:rPr>
        <w:t xml:space="preserve">at the University of Oslo (UiO) and the Akershus University Hospital, Norway, and his group are working on the molecular mechanisms of human ageing and age-predisposed neurodegeneration </w:t>
      </w:r>
      <w:r w:rsidRPr="003C141C">
        <w:rPr>
          <w:rFonts w:asciiTheme="majorHAnsi" w:hAnsiTheme="majorHAnsi" w:cstheme="majorHAnsi"/>
          <w:color w:val="000000" w:themeColor="text1"/>
        </w:rPr>
        <w:t>(</w:t>
      </w:r>
      <w:hyperlink r:id="rId8" w:history="1">
        <w:r w:rsidRPr="003C141C">
          <w:rPr>
            <w:rStyle w:val="Hyperlink"/>
            <w:rFonts w:asciiTheme="majorHAnsi" w:hAnsiTheme="majorHAnsi" w:cstheme="majorHAnsi"/>
          </w:rPr>
          <w:t>https://evandrofanglab.com/</w:t>
        </w:r>
      </w:hyperlink>
      <w:r w:rsidRPr="003C141C">
        <w:rPr>
          <w:rFonts w:asciiTheme="majorHAnsi" w:hAnsiTheme="majorHAnsi" w:cstheme="majorHAnsi"/>
          <w:color w:val="000000" w:themeColor="text1"/>
        </w:rPr>
        <w:t>).</w:t>
      </w:r>
      <w:r w:rsidR="00F5442F" w:rsidRPr="003C141C">
        <w:rPr>
          <w:rFonts w:asciiTheme="majorHAnsi" w:hAnsiTheme="majorHAnsi" w:cstheme="majorHAnsi"/>
          <w:color w:val="000000" w:themeColor="text1"/>
        </w:rPr>
        <w:t xml:space="preserve"> </w:t>
      </w:r>
      <w:r w:rsidRPr="003C141C">
        <w:rPr>
          <w:rFonts w:asciiTheme="majorHAnsi" w:hAnsiTheme="majorHAnsi" w:cstheme="majorHAnsi"/>
          <w:color w:val="000000" w:themeColor="text1"/>
        </w:rPr>
        <w:t>More specifically, the Fang laboratory is focusing on the molecular mechanisms behind how cells clear their damaged and aged mitochondria, a process termed “mitophagy”, as well as the roles of the NAD</w:t>
      </w:r>
      <w:r w:rsidRPr="003C141C">
        <w:rPr>
          <w:rFonts w:asciiTheme="majorHAnsi" w:hAnsiTheme="majorHAnsi" w:cstheme="majorHAnsi"/>
          <w:color w:val="000000" w:themeColor="text1"/>
          <w:vertAlign w:val="superscript"/>
        </w:rPr>
        <w:t>+</w:t>
      </w:r>
      <w:r w:rsidRPr="003C141C">
        <w:rPr>
          <w:rFonts w:asciiTheme="majorHAnsi" w:hAnsiTheme="majorHAnsi" w:cstheme="majorHAnsi"/>
          <w:color w:val="000000" w:themeColor="text1"/>
        </w:rPr>
        <w:t>-mitophagy/autophagy axis in healthy ageing and AD inhibition. NAD</w:t>
      </w:r>
      <w:r w:rsidRPr="003C141C">
        <w:rPr>
          <w:rFonts w:asciiTheme="majorHAnsi" w:hAnsiTheme="majorHAnsi" w:cstheme="majorHAnsi"/>
          <w:color w:val="000000" w:themeColor="text1"/>
          <w:vertAlign w:val="superscript"/>
        </w:rPr>
        <w:t>+</w:t>
      </w:r>
      <w:r w:rsidRPr="003C141C">
        <w:rPr>
          <w:rFonts w:asciiTheme="majorHAnsi" w:hAnsiTheme="majorHAnsi" w:cstheme="majorHAnsi"/>
          <w:color w:val="000000" w:themeColor="text1"/>
        </w:rPr>
        <w:t xml:space="preserve"> is a fundamental molecule in life and health and decreases in ageing and AD. Dr Fang is fascinated with and actively engaged in moving his laboratory findings to translational applications and is involved in </w:t>
      </w:r>
      <w:r w:rsidR="002D5B95">
        <w:rPr>
          <w:rFonts w:asciiTheme="majorHAnsi" w:hAnsiTheme="majorHAnsi" w:cstheme="majorHAnsi"/>
          <w:color w:val="000000" w:themeColor="text1"/>
        </w:rPr>
        <w:t>several</w:t>
      </w:r>
      <w:r w:rsidRPr="003C141C">
        <w:rPr>
          <w:rFonts w:asciiTheme="majorHAnsi" w:hAnsiTheme="majorHAnsi" w:cstheme="majorHAnsi"/>
          <w:color w:val="000000" w:themeColor="text1"/>
        </w:rPr>
        <w:t xml:space="preserve"> NAD</w:t>
      </w:r>
      <w:r w:rsidRPr="003C141C">
        <w:rPr>
          <w:rFonts w:asciiTheme="majorHAnsi" w:hAnsiTheme="majorHAnsi" w:cstheme="majorHAnsi"/>
          <w:color w:val="000000" w:themeColor="text1"/>
          <w:vertAlign w:val="superscript"/>
        </w:rPr>
        <w:t>+</w:t>
      </w:r>
      <w:r w:rsidRPr="003C141C">
        <w:rPr>
          <w:rFonts w:asciiTheme="majorHAnsi" w:hAnsiTheme="majorHAnsi" w:cstheme="majorHAnsi"/>
          <w:color w:val="000000" w:themeColor="text1"/>
        </w:rPr>
        <w:t xml:space="preserve">-based clinical trials, with the overarching goal of establishing novel and safe biological approaches to promote longer and healthier human lives. </w:t>
      </w:r>
    </w:p>
    <w:p w14:paraId="0F42D9DE" w14:textId="77777777" w:rsidR="00451FF5" w:rsidRPr="003C141C" w:rsidRDefault="00451FF5" w:rsidP="00451FF5">
      <w:pPr>
        <w:pStyle w:val="ListParagraph"/>
        <w:jc w:val="both"/>
        <w:rPr>
          <w:rFonts w:asciiTheme="majorHAnsi" w:hAnsiTheme="majorHAnsi" w:cstheme="majorHAnsi"/>
          <w:color w:val="000000" w:themeColor="text1"/>
          <w:sz w:val="22"/>
          <w:szCs w:val="22"/>
          <w:lang w:val="en-GB" w:eastAsia="zh-CN"/>
        </w:rPr>
      </w:pPr>
    </w:p>
    <w:p w14:paraId="12ACC5B6" w14:textId="7DFA0573" w:rsidR="00451FF5" w:rsidRPr="003C141C" w:rsidRDefault="00BF5AF4" w:rsidP="00451FF5">
      <w:pPr>
        <w:jc w:val="both"/>
        <w:rPr>
          <w:rFonts w:asciiTheme="majorHAnsi" w:hAnsiTheme="majorHAnsi" w:cstheme="majorHAnsi"/>
          <w:color w:val="000000" w:themeColor="text1"/>
        </w:rPr>
      </w:pPr>
      <w:r>
        <w:rPr>
          <w:rFonts w:asciiTheme="majorHAnsi" w:hAnsiTheme="majorHAnsi" w:cstheme="majorHAnsi"/>
          <w:color w:val="000000" w:themeColor="text1"/>
        </w:rPr>
        <w:t xml:space="preserve">As a </w:t>
      </w:r>
      <w:r w:rsidRPr="00BF5AF4">
        <w:rPr>
          <w:rFonts w:asciiTheme="majorHAnsi" w:hAnsiTheme="majorHAnsi" w:cstheme="majorHAnsi"/>
          <w:color w:val="000000" w:themeColor="text1"/>
        </w:rPr>
        <w:t>Clarivate Highly Cited Researcher 2025 (</w:t>
      </w:r>
      <w:r w:rsidR="007451A9">
        <w:rPr>
          <w:rFonts w:asciiTheme="majorHAnsi" w:hAnsiTheme="majorHAnsi" w:cstheme="majorHAnsi"/>
          <w:color w:val="000000" w:themeColor="text1"/>
        </w:rPr>
        <w:t>1</w:t>
      </w:r>
      <w:r w:rsidR="007451A9" w:rsidRPr="007451A9">
        <w:rPr>
          <w:rFonts w:asciiTheme="majorHAnsi" w:hAnsiTheme="majorHAnsi" w:cstheme="majorHAnsi"/>
          <w:color w:val="000000" w:themeColor="text1"/>
        </w:rPr>
        <w:t>‰</w:t>
      </w:r>
      <w:r w:rsidR="007451A9">
        <w:rPr>
          <w:rFonts w:asciiTheme="majorHAnsi" w:hAnsiTheme="majorHAnsi" w:cstheme="majorHAnsi"/>
          <w:color w:val="000000" w:themeColor="text1"/>
        </w:rPr>
        <w:t xml:space="preserve">; and </w:t>
      </w:r>
      <w:r w:rsidRPr="00BF5AF4">
        <w:rPr>
          <w:rFonts w:asciiTheme="majorHAnsi" w:hAnsiTheme="majorHAnsi" w:cstheme="majorHAnsi"/>
          <w:color w:val="000000" w:themeColor="text1"/>
        </w:rPr>
        <w:t>one of 22 in Norway)</w:t>
      </w:r>
      <w:r w:rsidR="007451A9">
        <w:rPr>
          <w:rFonts w:asciiTheme="majorHAnsi" w:hAnsiTheme="majorHAnsi" w:cstheme="majorHAnsi"/>
          <w:color w:val="000000" w:themeColor="text1"/>
        </w:rPr>
        <w:t>, h</w:t>
      </w:r>
      <w:r w:rsidR="00451FF5" w:rsidRPr="003C141C">
        <w:rPr>
          <w:rFonts w:asciiTheme="majorHAnsi" w:hAnsiTheme="majorHAnsi" w:cstheme="majorHAnsi"/>
          <w:color w:val="000000" w:themeColor="text1"/>
        </w:rPr>
        <w:t xml:space="preserve">e has published over 100 papers in international peer-reviewed journals including papers in </w:t>
      </w:r>
      <w:r w:rsidR="00451FF5" w:rsidRPr="003C141C">
        <w:rPr>
          <w:rFonts w:asciiTheme="majorHAnsi" w:hAnsiTheme="majorHAnsi" w:cstheme="majorHAnsi"/>
          <w:i/>
          <w:color w:val="000000" w:themeColor="text1"/>
        </w:rPr>
        <w:t>Cell, Cell Metabolism, Nature Reviews MCB</w:t>
      </w:r>
      <w:r w:rsidR="00451FF5" w:rsidRPr="003C141C">
        <w:rPr>
          <w:rFonts w:asciiTheme="majorHAnsi" w:hAnsiTheme="majorHAnsi" w:cstheme="majorHAnsi"/>
          <w:color w:val="000000" w:themeColor="text1"/>
        </w:rPr>
        <w:t xml:space="preserve">, </w:t>
      </w:r>
      <w:r w:rsidR="00451FF5" w:rsidRPr="003C141C">
        <w:rPr>
          <w:rFonts w:asciiTheme="majorHAnsi" w:hAnsiTheme="majorHAnsi" w:cstheme="majorHAnsi"/>
          <w:i/>
          <w:color w:val="000000" w:themeColor="text1"/>
        </w:rPr>
        <w:t>Nature N</w:t>
      </w:r>
      <w:r w:rsidR="003D6803" w:rsidRPr="003C141C">
        <w:rPr>
          <w:rFonts w:asciiTheme="majorHAnsi" w:hAnsiTheme="majorHAnsi" w:cstheme="majorHAnsi"/>
          <w:i/>
          <w:color w:val="000000" w:themeColor="text1"/>
        </w:rPr>
        <w:t xml:space="preserve">euroscience, Nature Ageing, </w:t>
      </w:r>
      <w:r w:rsidR="00451FF5" w:rsidRPr="003C141C">
        <w:rPr>
          <w:rFonts w:asciiTheme="majorHAnsi" w:hAnsiTheme="majorHAnsi" w:cstheme="majorHAnsi"/>
          <w:i/>
          <w:color w:val="000000" w:themeColor="text1"/>
        </w:rPr>
        <w:t>Nature Biomedical Engineering</w:t>
      </w:r>
      <w:r w:rsidR="003D6803" w:rsidRPr="003C141C">
        <w:rPr>
          <w:rFonts w:asciiTheme="majorHAnsi" w:hAnsiTheme="majorHAnsi" w:cstheme="majorHAnsi"/>
          <w:i/>
          <w:color w:val="000000" w:themeColor="text1"/>
        </w:rPr>
        <w:t xml:space="preserve">, </w:t>
      </w:r>
      <w:r w:rsidR="003D6803" w:rsidRPr="003C141C">
        <w:rPr>
          <w:rFonts w:asciiTheme="majorHAnsi" w:hAnsiTheme="majorHAnsi" w:cstheme="majorHAnsi"/>
          <w:color w:val="000000" w:themeColor="text1"/>
        </w:rPr>
        <w:t>and</w:t>
      </w:r>
      <w:r w:rsidR="003D6803" w:rsidRPr="003C141C">
        <w:rPr>
          <w:rFonts w:asciiTheme="majorHAnsi" w:hAnsiTheme="majorHAnsi" w:cstheme="majorHAnsi"/>
          <w:i/>
          <w:color w:val="000000" w:themeColor="text1"/>
        </w:rPr>
        <w:t xml:space="preserve"> Lancet Healthy Longevity</w:t>
      </w:r>
      <w:r w:rsidR="00451FF5" w:rsidRPr="003C141C">
        <w:rPr>
          <w:rFonts w:asciiTheme="majorHAnsi" w:hAnsiTheme="majorHAnsi" w:cstheme="majorHAnsi"/>
          <w:color w:val="000000" w:themeColor="text1"/>
        </w:rPr>
        <w:t xml:space="preserve">. He routinely reviews grants for more than 30 leading foundations, including European Research Council (ERC, EU), Medical Research Council (MRC, UK), and AFAR (USA). He has been associate Editor-in-Chief (Deputy Editor) of 4 leading ageing journals, including Ageing Research Reviews, Mechanisms of Ageing and Development, </w:t>
      </w:r>
      <w:proofErr w:type="spellStart"/>
      <w:r w:rsidR="00451FF5" w:rsidRPr="003C141C">
        <w:rPr>
          <w:rFonts w:asciiTheme="majorHAnsi" w:hAnsiTheme="majorHAnsi" w:cstheme="majorHAnsi"/>
          <w:color w:val="000000" w:themeColor="text1"/>
        </w:rPr>
        <w:t>npj</w:t>
      </w:r>
      <w:proofErr w:type="spellEnd"/>
      <w:r w:rsidR="00451FF5" w:rsidRPr="003C141C">
        <w:rPr>
          <w:rFonts w:asciiTheme="majorHAnsi" w:hAnsiTheme="majorHAnsi" w:cstheme="majorHAnsi"/>
          <w:color w:val="000000" w:themeColor="text1"/>
        </w:rPr>
        <w:t xml:space="preserve"> Ageing, and Journal of Gerontology: Biological Section. He has received several awards including the Butler-Williams Scholar on Aging 2016 by NIA</w:t>
      </w:r>
      <w:r w:rsidR="00451FF5" w:rsidRPr="003C141C">
        <w:rPr>
          <w:rFonts w:asciiTheme="majorHAnsi" w:hAnsiTheme="majorHAnsi" w:cstheme="majorHAnsi"/>
          <w:color w:val="000000" w:themeColor="text1"/>
          <w:lang w:eastAsia="zh-CN"/>
        </w:rPr>
        <w:t xml:space="preserve"> (USA)</w:t>
      </w:r>
      <w:r w:rsidR="00C86A31" w:rsidRPr="003C141C">
        <w:rPr>
          <w:rFonts w:asciiTheme="majorHAnsi" w:hAnsiTheme="majorHAnsi" w:cstheme="majorHAnsi"/>
          <w:color w:val="000000" w:themeColor="text1"/>
        </w:rPr>
        <w:t xml:space="preserve">, </w:t>
      </w:r>
      <w:r w:rsidR="00451FF5" w:rsidRPr="003C141C">
        <w:rPr>
          <w:rFonts w:asciiTheme="majorHAnsi" w:hAnsiTheme="majorHAnsi" w:cstheme="majorHAnsi"/>
          <w:color w:val="000000" w:themeColor="text1"/>
          <w:lang w:eastAsia="zh-CN"/>
        </w:rPr>
        <w:t>the 'Scientific Award to Young Scientist in the Natural Sciences for 2020 by The Royal Norwegian Society of Sciences and Letters (Norway)</w:t>
      </w:r>
      <w:r w:rsidR="00C86A31" w:rsidRPr="003C141C">
        <w:rPr>
          <w:rFonts w:asciiTheme="majorHAnsi" w:hAnsiTheme="majorHAnsi" w:cstheme="majorHAnsi"/>
          <w:color w:val="000000" w:themeColor="text1"/>
          <w:lang w:eastAsia="zh-CN"/>
        </w:rPr>
        <w:t>, and the 2023 Norwegian National Dementia research award of the National Association for Publ</w:t>
      </w:r>
      <w:r w:rsidR="003D6803" w:rsidRPr="003C141C">
        <w:rPr>
          <w:rFonts w:asciiTheme="majorHAnsi" w:hAnsiTheme="majorHAnsi" w:cstheme="majorHAnsi"/>
          <w:color w:val="000000" w:themeColor="text1"/>
          <w:lang w:eastAsia="zh-CN"/>
        </w:rPr>
        <w:t>ic Health presented by H.M. King</w:t>
      </w:r>
      <w:r w:rsidR="00C86A31" w:rsidRPr="003C141C">
        <w:rPr>
          <w:rFonts w:asciiTheme="majorHAnsi" w:hAnsiTheme="majorHAnsi" w:cstheme="majorHAnsi"/>
          <w:color w:val="000000" w:themeColor="text1"/>
          <w:lang w:eastAsia="zh-CN"/>
        </w:rPr>
        <w:t xml:space="preserve"> Harald V</w:t>
      </w:r>
      <w:r w:rsidR="003D6803" w:rsidRPr="003C141C">
        <w:rPr>
          <w:rFonts w:asciiTheme="majorHAnsi" w:hAnsiTheme="majorHAnsi" w:cstheme="majorHAnsi"/>
          <w:color w:val="000000" w:themeColor="text1"/>
          <w:lang w:eastAsia="zh-CN"/>
        </w:rPr>
        <w:t xml:space="preserve"> of Norway</w:t>
      </w:r>
      <w:r w:rsidR="00451FF5" w:rsidRPr="003C141C">
        <w:rPr>
          <w:rFonts w:asciiTheme="majorHAnsi" w:hAnsiTheme="majorHAnsi" w:cstheme="majorHAnsi"/>
          <w:color w:val="000000" w:themeColor="text1"/>
          <w:lang w:eastAsia="zh-CN"/>
        </w:rPr>
        <w:t xml:space="preserve">. </w:t>
      </w:r>
    </w:p>
    <w:p w14:paraId="0929831B" w14:textId="77777777" w:rsidR="00451FF5" w:rsidRPr="003C141C" w:rsidRDefault="00451FF5" w:rsidP="00451FF5">
      <w:pPr>
        <w:jc w:val="both"/>
        <w:rPr>
          <w:rFonts w:asciiTheme="majorHAnsi" w:hAnsiTheme="majorHAnsi" w:cstheme="majorHAnsi"/>
          <w:color w:val="000000" w:themeColor="text1"/>
        </w:rPr>
      </w:pPr>
    </w:p>
    <w:p w14:paraId="189747D3" w14:textId="6C405F13" w:rsidR="00451FF5" w:rsidRPr="003C141C" w:rsidRDefault="00451FF5" w:rsidP="00451FF5">
      <w:pPr>
        <w:jc w:val="both"/>
        <w:rPr>
          <w:rFonts w:asciiTheme="majorHAnsi" w:hAnsiTheme="majorHAnsi" w:cstheme="majorHAnsi"/>
          <w:color w:val="000000" w:themeColor="text1"/>
        </w:rPr>
      </w:pPr>
      <w:r w:rsidRPr="003C141C">
        <w:rPr>
          <w:rFonts w:asciiTheme="majorHAnsi" w:hAnsiTheme="majorHAnsi" w:cstheme="majorHAnsi"/>
          <w:color w:val="000000" w:themeColor="text1"/>
        </w:rPr>
        <w:t xml:space="preserve">After finishing his PhD at the Chinese </w:t>
      </w:r>
      <w:r w:rsidR="00F5442F" w:rsidRPr="003C141C">
        <w:rPr>
          <w:rFonts w:asciiTheme="majorHAnsi" w:hAnsiTheme="majorHAnsi" w:cstheme="majorHAnsi"/>
          <w:color w:val="000000" w:themeColor="text1"/>
        </w:rPr>
        <w:t>University</w:t>
      </w:r>
      <w:r w:rsidRPr="003C141C">
        <w:rPr>
          <w:rFonts w:asciiTheme="majorHAnsi" w:hAnsiTheme="majorHAnsi" w:cstheme="majorHAnsi"/>
          <w:color w:val="000000" w:themeColor="text1"/>
        </w:rPr>
        <w:t xml:space="preserve"> of Hong Kong, he had a 6-year postdoc training with Prof. Vilhelm Bohr on molecular gerontology and Prof. Mark Mattson on neuronal resilience in Alzheimer’s disease at the National Institute on Ageing, Baltimore. He opened his lab in Oslo in the fall of 2017. </w:t>
      </w:r>
      <w:r w:rsidRPr="003C141C">
        <w:rPr>
          <w:rFonts w:asciiTheme="majorHAnsi" w:hAnsiTheme="majorHAnsi" w:cstheme="majorHAnsi"/>
          <w:color w:val="000000" w:themeColor="text1"/>
          <w:lang w:eastAsia="zh-CN"/>
        </w:rPr>
        <w:t>He is the founding (co)coordinator of the Norwegian Centre on Healthy Ageing network (</w:t>
      </w:r>
      <w:r w:rsidRPr="003C141C">
        <w:rPr>
          <w:rFonts w:asciiTheme="majorHAnsi" w:hAnsiTheme="majorHAnsi" w:cstheme="majorHAnsi"/>
          <w:b/>
          <w:color w:val="000000" w:themeColor="text1"/>
          <w:lang w:eastAsia="zh-CN"/>
        </w:rPr>
        <w:t>NO-Age</w:t>
      </w:r>
      <w:r w:rsidRPr="003C141C">
        <w:rPr>
          <w:rFonts w:asciiTheme="majorHAnsi" w:hAnsiTheme="majorHAnsi" w:cstheme="majorHAnsi"/>
          <w:color w:val="000000" w:themeColor="text1"/>
          <w:lang w:eastAsia="zh-CN"/>
        </w:rPr>
        <w:t xml:space="preserve">, </w:t>
      </w:r>
      <w:hyperlink r:id="rId9" w:history="1">
        <w:r w:rsidRPr="003C141C">
          <w:rPr>
            <w:rStyle w:val="Hyperlink"/>
            <w:rFonts w:asciiTheme="majorHAnsi" w:hAnsiTheme="majorHAnsi" w:cstheme="majorHAnsi"/>
            <w:lang w:eastAsia="zh-CN"/>
          </w:rPr>
          <w:t>www.noage100.com</w:t>
        </w:r>
      </w:hyperlink>
      <w:r w:rsidRPr="003C141C">
        <w:rPr>
          <w:rFonts w:asciiTheme="majorHAnsi" w:hAnsiTheme="majorHAnsi" w:cstheme="majorHAnsi"/>
          <w:color w:val="000000" w:themeColor="text1"/>
          <w:lang w:eastAsia="zh-CN"/>
        </w:rPr>
        <w:t>), the Norwegian National anti-Alzheimer’s disease Network (</w:t>
      </w:r>
      <w:r w:rsidRPr="003C141C">
        <w:rPr>
          <w:rFonts w:asciiTheme="majorHAnsi" w:hAnsiTheme="majorHAnsi" w:cstheme="majorHAnsi"/>
          <w:b/>
          <w:color w:val="000000" w:themeColor="text1"/>
          <w:lang w:eastAsia="zh-CN"/>
        </w:rPr>
        <w:t>NO-AD</w:t>
      </w:r>
      <w:r w:rsidRPr="003C141C">
        <w:rPr>
          <w:rFonts w:asciiTheme="majorHAnsi" w:hAnsiTheme="majorHAnsi" w:cstheme="majorHAnsi"/>
          <w:color w:val="000000" w:themeColor="text1"/>
          <w:lang w:eastAsia="zh-CN"/>
        </w:rPr>
        <w:t xml:space="preserve">, </w:t>
      </w:r>
      <w:hyperlink r:id="rId10" w:history="1">
        <w:r w:rsidRPr="003C141C">
          <w:rPr>
            <w:rStyle w:val="Hyperlink"/>
            <w:rFonts w:asciiTheme="majorHAnsi" w:hAnsiTheme="majorHAnsi" w:cstheme="majorHAnsi"/>
            <w:lang w:eastAsia="zh-CN"/>
          </w:rPr>
          <w:t>www.noad100.com</w:t>
        </w:r>
      </w:hyperlink>
      <w:r w:rsidRPr="003C141C">
        <w:rPr>
          <w:rFonts w:asciiTheme="majorHAnsi" w:hAnsiTheme="majorHAnsi" w:cstheme="majorHAnsi"/>
          <w:color w:val="000000" w:themeColor="text1"/>
          <w:lang w:eastAsia="zh-CN"/>
        </w:rPr>
        <w:t xml:space="preserve">), and the Hong Kong-Nordic Research Network. </w:t>
      </w:r>
      <w:r w:rsidR="00192FC3" w:rsidRPr="003C141C">
        <w:rPr>
          <w:rFonts w:asciiTheme="majorHAnsi" w:hAnsiTheme="majorHAnsi" w:cstheme="majorHAnsi"/>
          <w:b/>
          <w:bCs/>
          <w:color w:val="000000" w:themeColor="text1"/>
          <w:lang w:eastAsia="zh-CN"/>
        </w:rPr>
        <w:t xml:space="preserve">He sits in the expert roundtable on aging research for the United Nation’s Scientific Advisory Board. </w:t>
      </w:r>
      <w:r w:rsidR="00DB3EFC" w:rsidRPr="003C141C">
        <w:rPr>
          <w:rFonts w:asciiTheme="majorHAnsi" w:hAnsiTheme="majorHAnsi" w:cstheme="majorHAnsi"/>
          <w:b/>
          <w:bCs/>
          <w:color w:val="000000" w:themeColor="text1"/>
          <w:lang w:eastAsia="zh-CN"/>
        </w:rPr>
        <w:t>He is an academician of the Norwegian Academy of Science and Letters</w:t>
      </w:r>
      <w:r w:rsidR="007F6931" w:rsidRPr="003C141C">
        <w:rPr>
          <w:rFonts w:asciiTheme="majorHAnsi" w:hAnsiTheme="majorHAnsi" w:cstheme="majorHAnsi"/>
          <w:b/>
          <w:bCs/>
          <w:color w:val="000000" w:themeColor="text1"/>
          <w:lang w:eastAsia="zh-CN"/>
        </w:rPr>
        <w:t xml:space="preserve"> (DNVA</w:t>
      </w:r>
      <w:r w:rsidR="007C55D3" w:rsidRPr="003C141C">
        <w:rPr>
          <w:rFonts w:asciiTheme="majorHAnsi" w:hAnsiTheme="majorHAnsi" w:cstheme="majorHAnsi"/>
          <w:b/>
          <w:bCs/>
          <w:color w:val="000000" w:themeColor="text1"/>
          <w:lang w:eastAsia="zh-CN"/>
        </w:rPr>
        <w:t xml:space="preserve">, </w:t>
      </w:r>
      <w:r w:rsidR="007C55D3" w:rsidRPr="003C141C">
        <w:rPr>
          <w:rFonts w:asciiTheme="majorHAnsi" w:hAnsiTheme="majorHAnsi" w:cstheme="majorHAnsi"/>
          <w:b/>
          <w:bCs/>
          <w:color w:val="000000" w:themeColor="text1"/>
          <w:lang w:eastAsia="zh-CN"/>
        </w:rPr>
        <w:t>挪威科學與文學院院士</w:t>
      </w:r>
      <w:r w:rsidR="007F6931" w:rsidRPr="003C141C">
        <w:rPr>
          <w:rFonts w:asciiTheme="majorHAnsi" w:hAnsiTheme="majorHAnsi" w:cstheme="majorHAnsi"/>
          <w:b/>
          <w:bCs/>
          <w:color w:val="000000" w:themeColor="text1"/>
          <w:lang w:eastAsia="zh-CN"/>
        </w:rPr>
        <w:t>)</w:t>
      </w:r>
      <w:r w:rsidR="00DB3EFC" w:rsidRPr="003C141C">
        <w:rPr>
          <w:rFonts w:asciiTheme="majorHAnsi" w:hAnsiTheme="majorHAnsi" w:cstheme="majorHAnsi"/>
          <w:b/>
          <w:bCs/>
          <w:color w:val="000000" w:themeColor="text1"/>
          <w:lang w:eastAsia="zh-CN"/>
        </w:rPr>
        <w:t>.</w:t>
      </w:r>
      <w:r w:rsidR="00DB3EFC" w:rsidRPr="003C141C">
        <w:rPr>
          <w:rFonts w:asciiTheme="majorHAnsi" w:hAnsiTheme="majorHAnsi" w:cstheme="majorHAnsi"/>
          <w:color w:val="000000" w:themeColor="text1"/>
          <w:lang w:eastAsia="zh-CN"/>
        </w:rPr>
        <w:t xml:space="preserve"> </w:t>
      </w:r>
      <w:r w:rsidR="00192FC3" w:rsidRPr="003C141C">
        <w:rPr>
          <w:rFonts w:asciiTheme="majorHAnsi" w:hAnsiTheme="majorHAnsi" w:cstheme="majorHAnsi"/>
          <w:color w:val="000000" w:themeColor="text1"/>
          <w:lang w:eastAsia="zh-CN"/>
        </w:rPr>
        <w:t xml:space="preserve"> </w:t>
      </w:r>
      <w:r w:rsidR="00192FC3" w:rsidRPr="003C141C">
        <w:rPr>
          <w:rFonts w:asciiTheme="majorHAnsi" w:hAnsiTheme="majorHAnsi" w:cstheme="majorHAnsi"/>
          <w:color w:val="000000" w:themeColor="text1"/>
        </w:rPr>
        <w:t xml:space="preserve"> </w:t>
      </w:r>
      <w:r w:rsidRPr="003C141C">
        <w:rPr>
          <w:rFonts w:asciiTheme="majorHAnsi" w:hAnsiTheme="majorHAnsi" w:cstheme="majorHAnsi"/>
          <w:color w:val="000000" w:themeColor="text1"/>
          <w:lang w:eastAsia="zh-CN"/>
        </w:rPr>
        <w:t xml:space="preserve"> </w:t>
      </w:r>
      <w:r w:rsidRPr="003C141C">
        <w:rPr>
          <w:rFonts w:asciiTheme="majorHAnsi" w:hAnsiTheme="majorHAnsi" w:cstheme="majorHAnsi"/>
          <w:color w:val="000000" w:themeColor="text1"/>
        </w:rPr>
        <w:t xml:space="preserve"> </w:t>
      </w:r>
    </w:p>
    <w:p w14:paraId="5FBA6F03" w14:textId="5EF36B78" w:rsidR="00C86A31" w:rsidRPr="003C141C" w:rsidRDefault="00C86A31" w:rsidP="00C86A31">
      <w:pPr>
        <w:jc w:val="both"/>
        <w:rPr>
          <w:rFonts w:asciiTheme="majorHAnsi" w:hAnsiTheme="majorHAnsi" w:cstheme="majorHAnsi"/>
          <w:color w:val="000000" w:themeColor="text1"/>
          <w:sz w:val="22"/>
          <w:szCs w:val="22"/>
        </w:rPr>
      </w:pPr>
    </w:p>
    <w:sectPr w:rsidR="00C86A31" w:rsidRPr="003C141C" w:rsidSect="00F90231">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D7E579" w14:textId="77777777" w:rsidR="00A035AB" w:rsidRDefault="00A035AB" w:rsidP="00A341C8">
      <w:r>
        <w:separator/>
      </w:r>
    </w:p>
  </w:endnote>
  <w:endnote w:type="continuationSeparator" w:id="0">
    <w:p w14:paraId="247F3F99" w14:textId="77777777" w:rsidR="00A035AB" w:rsidRDefault="00A035AB" w:rsidP="00A34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171B12" w14:textId="77777777" w:rsidR="00A035AB" w:rsidRDefault="00A035AB" w:rsidP="00A341C8">
      <w:r>
        <w:separator/>
      </w:r>
    </w:p>
  </w:footnote>
  <w:footnote w:type="continuationSeparator" w:id="0">
    <w:p w14:paraId="450515D3" w14:textId="77777777" w:rsidR="00A035AB" w:rsidRDefault="00A035AB" w:rsidP="00A341C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b-NO"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activeWritingStyle w:appName="MSWord" w:lang="nb-NO" w:vendorID="64" w:dllVersion="0" w:nlCheck="1" w:checkStyle="0"/>
  <w:activeWritingStyle w:appName="MSWord" w:lang="en-US" w:vendorID="64" w:dllVersion="0" w:nlCheck="1" w:checkStyle="0"/>
  <w:activeWritingStyle w:appName="MSWord" w:lang="zh-CN" w:vendorID="64" w:dllVersion="5" w:nlCheck="1" w:checkStyle="1"/>
  <w:activeWritingStyle w:appName="MSWord" w:lang="en-US" w:vendorID="64" w:dllVersion="4096" w:nlCheck="1" w:checkStyle="0"/>
  <w:activeWritingStyle w:appName="MSWord" w:lang="en-GB" w:vendorID="64" w:dllVersion="4096" w:nlCheck="1" w:checkStyle="0"/>
  <w:activeWritingStyle w:appName="MSWord" w:lang="nb-NO" w:vendorID="64" w:dllVersion="4096" w:nlCheck="1" w:checkStyle="0"/>
  <w:activeWritingStyle w:appName="MSWord" w:lang="en-BZ" w:vendorID="64" w:dllVersion="4096" w:nlCheck="1" w:checkStyle="0"/>
  <w:proofState w:spelling="clean" w:grammar="clean"/>
  <w:revisionView w:inkAnnotation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ell Biology&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dps0twvkdvpznetd04pz9fqwxfzvs9sefdt&quot;&gt;My EndNote Library&lt;record-ids&gt;&lt;item&gt;11&lt;/item&gt;&lt;item&gt;12&lt;/item&gt;&lt;item&gt;13&lt;/item&gt;&lt;/record-ids&gt;&lt;/item&gt;&lt;/Libraries&gt;"/>
  </w:docVars>
  <w:rsids>
    <w:rsidRoot w:val="00F96A7F"/>
    <w:rsid w:val="000045A6"/>
    <w:rsid w:val="00006B02"/>
    <w:rsid w:val="00014480"/>
    <w:rsid w:val="00014F59"/>
    <w:rsid w:val="00032E96"/>
    <w:rsid w:val="000400BB"/>
    <w:rsid w:val="0004471C"/>
    <w:rsid w:val="00046606"/>
    <w:rsid w:val="000848B1"/>
    <w:rsid w:val="00093A45"/>
    <w:rsid w:val="000A4BC2"/>
    <w:rsid w:val="000B7AFA"/>
    <w:rsid w:val="000E4350"/>
    <w:rsid w:val="000F04FF"/>
    <w:rsid w:val="000F2E85"/>
    <w:rsid w:val="000F3F85"/>
    <w:rsid w:val="00104BCB"/>
    <w:rsid w:val="0014495C"/>
    <w:rsid w:val="001556EE"/>
    <w:rsid w:val="001574E2"/>
    <w:rsid w:val="00162F7C"/>
    <w:rsid w:val="001667D1"/>
    <w:rsid w:val="0017291D"/>
    <w:rsid w:val="00185DCD"/>
    <w:rsid w:val="00192FC3"/>
    <w:rsid w:val="00194D64"/>
    <w:rsid w:val="001A6D7B"/>
    <w:rsid w:val="001B61AF"/>
    <w:rsid w:val="001B74F0"/>
    <w:rsid w:val="001D5B59"/>
    <w:rsid w:val="00205C6E"/>
    <w:rsid w:val="002164F1"/>
    <w:rsid w:val="0021732E"/>
    <w:rsid w:val="00223827"/>
    <w:rsid w:val="002306BD"/>
    <w:rsid w:val="002376DB"/>
    <w:rsid w:val="002537EF"/>
    <w:rsid w:val="00253AD6"/>
    <w:rsid w:val="00254C1C"/>
    <w:rsid w:val="00271326"/>
    <w:rsid w:val="002751FE"/>
    <w:rsid w:val="0028024A"/>
    <w:rsid w:val="00283366"/>
    <w:rsid w:val="00284644"/>
    <w:rsid w:val="00292DF3"/>
    <w:rsid w:val="00296A28"/>
    <w:rsid w:val="002B7C57"/>
    <w:rsid w:val="002C4E50"/>
    <w:rsid w:val="002D5B95"/>
    <w:rsid w:val="002E516A"/>
    <w:rsid w:val="002F5A18"/>
    <w:rsid w:val="002F5C05"/>
    <w:rsid w:val="00301B38"/>
    <w:rsid w:val="00305DAA"/>
    <w:rsid w:val="003070E4"/>
    <w:rsid w:val="00316AB3"/>
    <w:rsid w:val="003214C2"/>
    <w:rsid w:val="003234DA"/>
    <w:rsid w:val="00324C7F"/>
    <w:rsid w:val="00326C0E"/>
    <w:rsid w:val="00331855"/>
    <w:rsid w:val="003331CC"/>
    <w:rsid w:val="00362B3B"/>
    <w:rsid w:val="003706B4"/>
    <w:rsid w:val="00381B4D"/>
    <w:rsid w:val="00391CFF"/>
    <w:rsid w:val="00396079"/>
    <w:rsid w:val="00397C7C"/>
    <w:rsid w:val="003A02F8"/>
    <w:rsid w:val="003B3CB0"/>
    <w:rsid w:val="003C141C"/>
    <w:rsid w:val="003D196A"/>
    <w:rsid w:val="003D5182"/>
    <w:rsid w:val="003D6803"/>
    <w:rsid w:val="003E0080"/>
    <w:rsid w:val="003E00C8"/>
    <w:rsid w:val="003E20C0"/>
    <w:rsid w:val="003E55AA"/>
    <w:rsid w:val="003E58E8"/>
    <w:rsid w:val="003F30FD"/>
    <w:rsid w:val="004172FD"/>
    <w:rsid w:val="00420D75"/>
    <w:rsid w:val="00430C8D"/>
    <w:rsid w:val="00433F8A"/>
    <w:rsid w:val="00440E75"/>
    <w:rsid w:val="00442B49"/>
    <w:rsid w:val="00445D25"/>
    <w:rsid w:val="00451FF5"/>
    <w:rsid w:val="00454F0A"/>
    <w:rsid w:val="004767C7"/>
    <w:rsid w:val="0049454C"/>
    <w:rsid w:val="00494F4E"/>
    <w:rsid w:val="004A756D"/>
    <w:rsid w:val="004B7C7F"/>
    <w:rsid w:val="004C0467"/>
    <w:rsid w:val="004D14EA"/>
    <w:rsid w:val="004D75B5"/>
    <w:rsid w:val="004E21E4"/>
    <w:rsid w:val="00506BEF"/>
    <w:rsid w:val="00521AF7"/>
    <w:rsid w:val="00530963"/>
    <w:rsid w:val="005409B4"/>
    <w:rsid w:val="00544A32"/>
    <w:rsid w:val="00544C46"/>
    <w:rsid w:val="005457DE"/>
    <w:rsid w:val="00550423"/>
    <w:rsid w:val="00550B96"/>
    <w:rsid w:val="0055301F"/>
    <w:rsid w:val="005606DD"/>
    <w:rsid w:val="00562C57"/>
    <w:rsid w:val="00582FA7"/>
    <w:rsid w:val="0058370E"/>
    <w:rsid w:val="0059180F"/>
    <w:rsid w:val="005971C0"/>
    <w:rsid w:val="005A3E96"/>
    <w:rsid w:val="005C0BE6"/>
    <w:rsid w:val="005D0C78"/>
    <w:rsid w:val="00600385"/>
    <w:rsid w:val="006061B8"/>
    <w:rsid w:val="006149A8"/>
    <w:rsid w:val="00615659"/>
    <w:rsid w:val="0063512A"/>
    <w:rsid w:val="00666C20"/>
    <w:rsid w:val="00683008"/>
    <w:rsid w:val="006902BB"/>
    <w:rsid w:val="00691872"/>
    <w:rsid w:val="0069340A"/>
    <w:rsid w:val="00693EB2"/>
    <w:rsid w:val="0069727E"/>
    <w:rsid w:val="006A0A57"/>
    <w:rsid w:val="006B5F65"/>
    <w:rsid w:val="006C6DF6"/>
    <w:rsid w:val="006D5B93"/>
    <w:rsid w:val="006E1061"/>
    <w:rsid w:val="006E109D"/>
    <w:rsid w:val="006E3DFE"/>
    <w:rsid w:val="006E6D62"/>
    <w:rsid w:val="00707187"/>
    <w:rsid w:val="00732AF2"/>
    <w:rsid w:val="007451A9"/>
    <w:rsid w:val="0074583A"/>
    <w:rsid w:val="00747978"/>
    <w:rsid w:val="00750E5F"/>
    <w:rsid w:val="00753105"/>
    <w:rsid w:val="00774030"/>
    <w:rsid w:val="007867A7"/>
    <w:rsid w:val="007A29A4"/>
    <w:rsid w:val="007A4C1B"/>
    <w:rsid w:val="007C55D3"/>
    <w:rsid w:val="007C600E"/>
    <w:rsid w:val="007E4F92"/>
    <w:rsid w:val="007E6E0C"/>
    <w:rsid w:val="007F6931"/>
    <w:rsid w:val="00804D18"/>
    <w:rsid w:val="00807F91"/>
    <w:rsid w:val="00812094"/>
    <w:rsid w:val="00816CB0"/>
    <w:rsid w:val="0081713D"/>
    <w:rsid w:val="00832B08"/>
    <w:rsid w:val="008432A1"/>
    <w:rsid w:val="00850B71"/>
    <w:rsid w:val="00853EBF"/>
    <w:rsid w:val="00866194"/>
    <w:rsid w:val="00875CCD"/>
    <w:rsid w:val="00883B38"/>
    <w:rsid w:val="008939B7"/>
    <w:rsid w:val="0089593F"/>
    <w:rsid w:val="008A4897"/>
    <w:rsid w:val="008A717B"/>
    <w:rsid w:val="008B3EFA"/>
    <w:rsid w:val="008C465E"/>
    <w:rsid w:val="008E5BE2"/>
    <w:rsid w:val="00905F10"/>
    <w:rsid w:val="00911AC0"/>
    <w:rsid w:val="00913AB3"/>
    <w:rsid w:val="00922158"/>
    <w:rsid w:val="00942DA2"/>
    <w:rsid w:val="00950137"/>
    <w:rsid w:val="00952A3B"/>
    <w:rsid w:val="00960C29"/>
    <w:rsid w:val="0097072A"/>
    <w:rsid w:val="009727D3"/>
    <w:rsid w:val="00972FDD"/>
    <w:rsid w:val="00983D58"/>
    <w:rsid w:val="00985A64"/>
    <w:rsid w:val="00996600"/>
    <w:rsid w:val="009A56CA"/>
    <w:rsid w:val="009B415C"/>
    <w:rsid w:val="009C63E1"/>
    <w:rsid w:val="009D2FCB"/>
    <w:rsid w:val="009D3962"/>
    <w:rsid w:val="009E2CF1"/>
    <w:rsid w:val="009E3E2A"/>
    <w:rsid w:val="009E7C86"/>
    <w:rsid w:val="009F4957"/>
    <w:rsid w:val="009F59F3"/>
    <w:rsid w:val="00A035AB"/>
    <w:rsid w:val="00A03DB3"/>
    <w:rsid w:val="00A10EFD"/>
    <w:rsid w:val="00A12B4B"/>
    <w:rsid w:val="00A272A6"/>
    <w:rsid w:val="00A341C8"/>
    <w:rsid w:val="00A45E63"/>
    <w:rsid w:val="00A45E8A"/>
    <w:rsid w:val="00A54A8D"/>
    <w:rsid w:val="00A811D5"/>
    <w:rsid w:val="00A97371"/>
    <w:rsid w:val="00A97404"/>
    <w:rsid w:val="00AB163B"/>
    <w:rsid w:val="00AB5DB6"/>
    <w:rsid w:val="00AE0623"/>
    <w:rsid w:val="00AE13F3"/>
    <w:rsid w:val="00B058E9"/>
    <w:rsid w:val="00B30353"/>
    <w:rsid w:val="00B31B6C"/>
    <w:rsid w:val="00B32F7E"/>
    <w:rsid w:val="00B4715C"/>
    <w:rsid w:val="00B662CE"/>
    <w:rsid w:val="00B7074F"/>
    <w:rsid w:val="00B82D14"/>
    <w:rsid w:val="00B925DD"/>
    <w:rsid w:val="00B97E51"/>
    <w:rsid w:val="00BA51D7"/>
    <w:rsid w:val="00BB1B20"/>
    <w:rsid w:val="00BB718A"/>
    <w:rsid w:val="00BC71AC"/>
    <w:rsid w:val="00BE090B"/>
    <w:rsid w:val="00BE61CB"/>
    <w:rsid w:val="00BE6F7C"/>
    <w:rsid w:val="00BF5805"/>
    <w:rsid w:val="00BF5AF4"/>
    <w:rsid w:val="00BF678F"/>
    <w:rsid w:val="00C00611"/>
    <w:rsid w:val="00C02249"/>
    <w:rsid w:val="00C0293D"/>
    <w:rsid w:val="00C2040C"/>
    <w:rsid w:val="00C26971"/>
    <w:rsid w:val="00C26D2F"/>
    <w:rsid w:val="00C3076A"/>
    <w:rsid w:val="00C3369C"/>
    <w:rsid w:val="00C35BB3"/>
    <w:rsid w:val="00C36464"/>
    <w:rsid w:val="00C40329"/>
    <w:rsid w:val="00C403AF"/>
    <w:rsid w:val="00C456D9"/>
    <w:rsid w:val="00C6643C"/>
    <w:rsid w:val="00C754A4"/>
    <w:rsid w:val="00C755AE"/>
    <w:rsid w:val="00C86A31"/>
    <w:rsid w:val="00C94670"/>
    <w:rsid w:val="00CB06BE"/>
    <w:rsid w:val="00CB21EC"/>
    <w:rsid w:val="00CC4A8F"/>
    <w:rsid w:val="00CC7637"/>
    <w:rsid w:val="00CC791F"/>
    <w:rsid w:val="00CE6824"/>
    <w:rsid w:val="00D15237"/>
    <w:rsid w:val="00D24229"/>
    <w:rsid w:val="00D24D51"/>
    <w:rsid w:val="00D337CC"/>
    <w:rsid w:val="00D5189F"/>
    <w:rsid w:val="00D73DFD"/>
    <w:rsid w:val="00D74EE0"/>
    <w:rsid w:val="00D81C8B"/>
    <w:rsid w:val="00D83844"/>
    <w:rsid w:val="00D8523E"/>
    <w:rsid w:val="00DA5C19"/>
    <w:rsid w:val="00DB3EFC"/>
    <w:rsid w:val="00DB587B"/>
    <w:rsid w:val="00DD3726"/>
    <w:rsid w:val="00DD5A01"/>
    <w:rsid w:val="00DF0449"/>
    <w:rsid w:val="00DF3BCF"/>
    <w:rsid w:val="00E11FC5"/>
    <w:rsid w:val="00E12CD2"/>
    <w:rsid w:val="00E148DD"/>
    <w:rsid w:val="00E15218"/>
    <w:rsid w:val="00E15861"/>
    <w:rsid w:val="00E16A05"/>
    <w:rsid w:val="00E377F9"/>
    <w:rsid w:val="00E42B33"/>
    <w:rsid w:val="00E43779"/>
    <w:rsid w:val="00E44E48"/>
    <w:rsid w:val="00E61C9D"/>
    <w:rsid w:val="00E66BD3"/>
    <w:rsid w:val="00E817E4"/>
    <w:rsid w:val="00E84B9E"/>
    <w:rsid w:val="00E90CA7"/>
    <w:rsid w:val="00E92AC2"/>
    <w:rsid w:val="00E933DA"/>
    <w:rsid w:val="00EA67C3"/>
    <w:rsid w:val="00EC1D29"/>
    <w:rsid w:val="00ED46FF"/>
    <w:rsid w:val="00EE207C"/>
    <w:rsid w:val="00EE43D7"/>
    <w:rsid w:val="00EF0CFD"/>
    <w:rsid w:val="00EF3579"/>
    <w:rsid w:val="00EF3D10"/>
    <w:rsid w:val="00EF4C36"/>
    <w:rsid w:val="00EF68E4"/>
    <w:rsid w:val="00F01413"/>
    <w:rsid w:val="00F067C6"/>
    <w:rsid w:val="00F07BEF"/>
    <w:rsid w:val="00F17A6D"/>
    <w:rsid w:val="00F3552A"/>
    <w:rsid w:val="00F5442F"/>
    <w:rsid w:val="00F710A0"/>
    <w:rsid w:val="00F72A8B"/>
    <w:rsid w:val="00F74401"/>
    <w:rsid w:val="00F8738A"/>
    <w:rsid w:val="00F90231"/>
    <w:rsid w:val="00F91CF6"/>
    <w:rsid w:val="00F96A7F"/>
    <w:rsid w:val="00FA0124"/>
    <w:rsid w:val="00FA4DF4"/>
    <w:rsid w:val="00FB6DC3"/>
    <w:rsid w:val="00FD1450"/>
    <w:rsid w:val="00FD69EC"/>
    <w:rsid w:val="00FE1272"/>
    <w:rsid w:val="00FE45BD"/>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3067244"/>
  <w14:defaultImageDpi w14:val="300"/>
  <w15:docId w15:val="{42FDF49F-D03F-4ED7-A349-56F6699AA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link w:val="Heading1Char"/>
    <w:uiPriority w:val="9"/>
    <w:qFormat/>
    <w:rsid w:val="00750E5F"/>
    <w:pPr>
      <w:spacing w:before="100" w:beforeAutospacing="1" w:after="100" w:afterAutospacing="1"/>
      <w:outlineLvl w:val="0"/>
    </w:pPr>
    <w:rPr>
      <w:rFonts w:ascii="Times New Roman" w:hAnsi="Times New Roman" w:cs="Times New Roman"/>
      <w:b/>
      <w:bCs/>
      <w:kern w:val="36"/>
      <w:sz w:val="48"/>
      <w:szCs w:val="48"/>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F5C05"/>
    <w:pPr>
      <w:spacing w:before="100" w:beforeAutospacing="1" w:after="100" w:afterAutospacing="1"/>
    </w:pPr>
    <w:rPr>
      <w:rFonts w:ascii="Times New Roman" w:hAnsi="Times New Roman" w:cs="Times New Roman"/>
      <w:sz w:val="20"/>
      <w:szCs w:val="20"/>
      <w:lang w:val="en-US"/>
    </w:rPr>
  </w:style>
  <w:style w:type="character" w:styleId="Strong">
    <w:name w:val="Strong"/>
    <w:basedOn w:val="DefaultParagraphFont"/>
    <w:uiPriority w:val="22"/>
    <w:qFormat/>
    <w:rsid w:val="00691872"/>
    <w:rPr>
      <w:b/>
      <w:bCs/>
    </w:rPr>
  </w:style>
  <w:style w:type="character" w:styleId="Hyperlink">
    <w:name w:val="Hyperlink"/>
    <w:basedOn w:val="DefaultParagraphFont"/>
    <w:uiPriority w:val="99"/>
    <w:unhideWhenUsed/>
    <w:rsid w:val="00691872"/>
    <w:rPr>
      <w:color w:val="0000FF"/>
      <w:u w:val="single"/>
    </w:rPr>
  </w:style>
  <w:style w:type="character" w:customStyle="1" w:styleId="rphighlightallclass">
    <w:name w:val="rphighlightallclass"/>
    <w:basedOn w:val="DefaultParagraphFont"/>
    <w:rsid w:val="009A56CA"/>
  </w:style>
  <w:style w:type="paragraph" w:styleId="ListParagraph">
    <w:name w:val="List Paragraph"/>
    <w:basedOn w:val="Normal"/>
    <w:link w:val="ListParagraphChar"/>
    <w:uiPriority w:val="34"/>
    <w:qFormat/>
    <w:rsid w:val="001D5B59"/>
    <w:pPr>
      <w:ind w:left="720"/>
    </w:pPr>
    <w:rPr>
      <w:rFonts w:ascii="Times New Roman" w:hAnsi="Times New Roman" w:cs="Times New Roman"/>
      <w:lang w:val="en-US"/>
    </w:rPr>
  </w:style>
  <w:style w:type="character" w:customStyle="1" w:styleId="ListParagraphChar">
    <w:name w:val="List Paragraph Char"/>
    <w:basedOn w:val="DefaultParagraphFont"/>
    <w:link w:val="ListParagraph"/>
    <w:uiPriority w:val="34"/>
    <w:rsid w:val="001D5B59"/>
    <w:rPr>
      <w:rFonts w:ascii="Times New Roman" w:hAnsi="Times New Roman" w:cs="Times New Roman"/>
      <w:lang w:val="en-US"/>
    </w:rPr>
  </w:style>
  <w:style w:type="character" w:customStyle="1" w:styleId="Heading1Char">
    <w:name w:val="Heading 1 Char"/>
    <w:basedOn w:val="DefaultParagraphFont"/>
    <w:link w:val="Heading1"/>
    <w:uiPriority w:val="9"/>
    <w:rsid w:val="00750E5F"/>
    <w:rPr>
      <w:rFonts w:ascii="Times New Roman" w:hAnsi="Times New Roman" w:cs="Times New Roman"/>
      <w:b/>
      <w:bCs/>
      <w:kern w:val="36"/>
      <w:sz w:val="48"/>
      <w:szCs w:val="48"/>
      <w:lang w:val="en-US" w:eastAsia="zh-CN"/>
    </w:rPr>
  </w:style>
  <w:style w:type="paragraph" w:customStyle="1" w:styleId="EndNoteBibliography">
    <w:name w:val="EndNote Bibliography"/>
    <w:basedOn w:val="Normal"/>
    <w:link w:val="EndNoteBibliographyChar"/>
    <w:rsid w:val="00750E5F"/>
    <w:pPr>
      <w:spacing w:after="200"/>
      <w:jc w:val="both"/>
    </w:pPr>
    <w:rPr>
      <w:rFonts w:ascii="Times New Roman" w:hAnsi="Times New Roman" w:cs="Times New Roman"/>
      <w:noProof/>
      <w:sz w:val="20"/>
      <w:szCs w:val="22"/>
      <w:lang w:val="en-US"/>
    </w:rPr>
  </w:style>
  <w:style w:type="character" w:customStyle="1" w:styleId="EndNoteBibliographyChar">
    <w:name w:val="EndNote Bibliography Char"/>
    <w:basedOn w:val="ListParagraphChar"/>
    <w:link w:val="EndNoteBibliography"/>
    <w:rsid w:val="00750E5F"/>
    <w:rPr>
      <w:rFonts w:ascii="Times New Roman" w:hAnsi="Times New Roman" w:cs="Times New Roman"/>
      <w:noProof/>
      <w:sz w:val="20"/>
      <w:szCs w:val="22"/>
      <w:lang w:val="en-US"/>
    </w:rPr>
  </w:style>
  <w:style w:type="paragraph" w:customStyle="1" w:styleId="EndNoteBibliographyTitle">
    <w:name w:val="EndNote Bibliography Title"/>
    <w:basedOn w:val="Normal"/>
    <w:link w:val="EndNoteBibliographyTitleChar"/>
    <w:rsid w:val="000E4350"/>
    <w:pPr>
      <w:jc w:val="center"/>
    </w:pPr>
    <w:rPr>
      <w:rFonts w:ascii="Times New Roman" w:hAnsi="Times New Roman" w:cs="Times New Roman"/>
      <w:noProof/>
      <w:sz w:val="20"/>
      <w:lang w:val="en-US"/>
    </w:rPr>
  </w:style>
  <w:style w:type="character" w:customStyle="1" w:styleId="EndNoteBibliographyTitleChar">
    <w:name w:val="EndNote Bibliography Title Char"/>
    <w:basedOn w:val="DefaultParagraphFont"/>
    <w:link w:val="EndNoteBibliographyTitle"/>
    <w:rsid w:val="000E4350"/>
    <w:rPr>
      <w:rFonts w:ascii="Times New Roman" w:hAnsi="Times New Roman" w:cs="Times New Roman"/>
      <w:noProof/>
      <w:sz w:val="20"/>
      <w:lang w:val="en-US"/>
    </w:rPr>
  </w:style>
  <w:style w:type="character" w:styleId="CommentReference">
    <w:name w:val="annotation reference"/>
    <w:basedOn w:val="DefaultParagraphFont"/>
    <w:uiPriority w:val="99"/>
    <w:semiHidden/>
    <w:unhideWhenUsed/>
    <w:rsid w:val="000B7AFA"/>
    <w:rPr>
      <w:sz w:val="16"/>
      <w:szCs w:val="16"/>
    </w:rPr>
  </w:style>
  <w:style w:type="paragraph" w:styleId="CommentText">
    <w:name w:val="annotation text"/>
    <w:basedOn w:val="Normal"/>
    <w:link w:val="CommentTextChar"/>
    <w:uiPriority w:val="99"/>
    <w:semiHidden/>
    <w:unhideWhenUsed/>
    <w:rsid w:val="000B7AFA"/>
    <w:rPr>
      <w:sz w:val="20"/>
      <w:szCs w:val="20"/>
    </w:rPr>
  </w:style>
  <w:style w:type="character" w:customStyle="1" w:styleId="CommentTextChar">
    <w:name w:val="Comment Text Char"/>
    <w:basedOn w:val="DefaultParagraphFont"/>
    <w:link w:val="CommentText"/>
    <w:uiPriority w:val="99"/>
    <w:semiHidden/>
    <w:rsid w:val="000B7AFA"/>
    <w:rPr>
      <w:sz w:val="20"/>
      <w:szCs w:val="20"/>
      <w:lang w:val="en-GB"/>
    </w:rPr>
  </w:style>
  <w:style w:type="paragraph" w:styleId="CommentSubject">
    <w:name w:val="annotation subject"/>
    <w:basedOn w:val="CommentText"/>
    <w:next w:val="CommentText"/>
    <w:link w:val="CommentSubjectChar"/>
    <w:uiPriority w:val="99"/>
    <w:semiHidden/>
    <w:unhideWhenUsed/>
    <w:rsid w:val="000B7AFA"/>
    <w:rPr>
      <w:b/>
      <w:bCs/>
    </w:rPr>
  </w:style>
  <w:style w:type="character" w:customStyle="1" w:styleId="CommentSubjectChar">
    <w:name w:val="Comment Subject Char"/>
    <w:basedOn w:val="CommentTextChar"/>
    <w:link w:val="CommentSubject"/>
    <w:uiPriority w:val="99"/>
    <w:semiHidden/>
    <w:rsid w:val="000B7AFA"/>
    <w:rPr>
      <w:b/>
      <w:bCs/>
      <w:sz w:val="20"/>
      <w:szCs w:val="20"/>
      <w:lang w:val="en-GB"/>
    </w:rPr>
  </w:style>
  <w:style w:type="paragraph" w:styleId="FootnoteText">
    <w:name w:val="footnote text"/>
    <w:basedOn w:val="Normal"/>
    <w:link w:val="FootnoteTextChar"/>
    <w:uiPriority w:val="99"/>
    <w:semiHidden/>
    <w:unhideWhenUsed/>
    <w:rsid w:val="00A341C8"/>
    <w:rPr>
      <w:sz w:val="20"/>
      <w:szCs w:val="20"/>
    </w:rPr>
  </w:style>
  <w:style w:type="character" w:customStyle="1" w:styleId="FootnoteTextChar">
    <w:name w:val="Footnote Text Char"/>
    <w:basedOn w:val="DefaultParagraphFont"/>
    <w:link w:val="FootnoteText"/>
    <w:uiPriority w:val="99"/>
    <w:semiHidden/>
    <w:rsid w:val="00A341C8"/>
    <w:rPr>
      <w:sz w:val="20"/>
      <w:szCs w:val="20"/>
      <w:lang w:val="en-GB"/>
    </w:rPr>
  </w:style>
  <w:style w:type="character" w:styleId="FootnoteReference">
    <w:name w:val="footnote reference"/>
    <w:basedOn w:val="DefaultParagraphFont"/>
    <w:uiPriority w:val="99"/>
    <w:semiHidden/>
    <w:unhideWhenUsed/>
    <w:rsid w:val="00A341C8"/>
    <w:rPr>
      <w:vertAlign w:val="superscript"/>
    </w:rPr>
  </w:style>
  <w:style w:type="paragraph" w:styleId="BalloonText">
    <w:name w:val="Balloon Text"/>
    <w:basedOn w:val="Normal"/>
    <w:link w:val="BalloonTextChar"/>
    <w:uiPriority w:val="99"/>
    <w:semiHidden/>
    <w:unhideWhenUsed/>
    <w:rsid w:val="00FA012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0124"/>
    <w:rPr>
      <w:rFonts w:ascii="Segoe UI" w:hAnsi="Segoe UI" w:cs="Segoe UI"/>
      <w:sz w:val="18"/>
      <w:szCs w:val="18"/>
      <w:lang w:val="en-GB"/>
    </w:rPr>
  </w:style>
  <w:style w:type="paragraph" w:styleId="Revision">
    <w:name w:val="Revision"/>
    <w:hidden/>
    <w:uiPriority w:val="99"/>
    <w:semiHidden/>
    <w:rsid w:val="00BB1B20"/>
    <w:rPr>
      <w:lang w:val="en-GB"/>
    </w:rPr>
  </w:style>
  <w:style w:type="character" w:styleId="UnresolvedMention">
    <w:name w:val="Unresolved Mention"/>
    <w:basedOn w:val="DefaultParagraphFont"/>
    <w:uiPriority w:val="99"/>
    <w:semiHidden/>
    <w:unhideWhenUsed/>
    <w:rsid w:val="002306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754173">
      <w:bodyDiv w:val="1"/>
      <w:marLeft w:val="0"/>
      <w:marRight w:val="0"/>
      <w:marTop w:val="0"/>
      <w:marBottom w:val="0"/>
      <w:divBdr>
        <w:top w:val="none" w:sz="0" w:space="0" w:color="auto"/>
        <w:left w:val="none" w:sz="0" w:space="0" w:color="auto"/>
        <w:bottom w:val="none" w:sz="0" w:space="0" w:color="auto"/>
        <w:right w:val="none" w:sz="0" w:space="0" w:color="auto"/>
      </w:divBdr>
    </w:div>
    <w:div w:id="204104523">
      <w:bodyDiv w:val="1"/>
      <w:marLeft w:val="0"/>
      <w:marRight w:val="0"/>
      <w:marTop w:val="0"/>
      <w:marBottom w:val="0"/>
      <w:divBdr>
        <w:top w:val="none" w:sz="0" w:space="0" w:color="auto"/>
        <w:left w:val="none" w:sz="0" w:space="0" w:color="auto"/>
        <w:bottom w:val="none" w:sz="0" w:space="0" w:color="auto"/>
        <w:right w:val="none" w:sz="0" w:space="0" w:color="auto"/>
      </w:divBdr>
      <w:divsChild>
        <w:div w:id="1021783616">
          <w:marLeft w:val="0"/>
          <w:marRight w:val="0"/>
          <w:marTop w:val="0"/>
          <w:marBottom w:val="0"/>
          <w:divBdr>
            <w:top w:val="none" w:sz="0" w:space="0" w:color="auto"/>
            <w:left w:val="none" w:sz="0" w:space="0" w:color="auto"/>
            <w:bottom w:val="none" w:sz="0" w:space="0" w:color="auto"/>
            <w:right w:val="none" w:sz="0" w:space="0" w:color="auto"/>
          </w:divBdr>
        </w:div>
        <w:div w:id="1657757031">
          <w:marLeft w:val="0"/>
          <w:marRight w:val="0"/>
          <w:marTop w:val="0"/>
          <w:marBottom w:val="0"/>
          <w:divBdr>
            <w:top w:val="none" w:sz="0" w:space="0" w:color="auto"/>
            <w:left w:val="none" w:sz="0" w:space="0" w:color="auto"/>
            <w:bottom w:val="none" w:sz="0" w:space="0" w:color="auto"/>
            <w:right w:val="none" w:sz="0" w:space="0" w:color="auto"/>
          </w:divBdr>
        </w:div>
        <w:div w:id="1581016585">
          <w:marLeft w:val="0"/>
          <w:marRight w:val="0"/>
          <w:marTop w:val="0"/>
          <w:marBottom w:val="0"/>
          <w:divBdr>
            <w:top w:val="none" w:sz="0" w:space="0" w:color="auto"/>
            <w:left w:val="none" w:sz="0" w:space="0" w:color="auto"/>
            <w:bottom w:val="none" w:sz="0" w:space="0" w:color="auto"/>
            <w:right w:val="none" w:sz="0" w:space="0" w:color="auto"/>
          </w:divBdr>
        </w:div>
      </w:divsChild>
    </w:div>
    <w:div w:id="262150852">
      <w:bodyDiv w:val="1"/>
      <w:marLeft w:val="0"/>
      <w:marRight w:val="0"/>
      <w:marTop w:val="0"/>
      <w:marBottom w:val="0"/>
      <w:divBdr>
        <w:top w:val="none" w:sz="0" w:space="0" w:color="auto"/>
        <w:left w:val="none" w:sz="0" w:space="0" w:color="auto"/>
        <w:bottom w:val="none" w:sz="0" w:space="0" w:color="auto"/>
        <w:right w:val="none" w:sz="0" w:space="0" w:color="auto"/>
      </w:divBdr>
    </w:div>
    <w:div w:id="269119515">
      <w:bodyDiv w:val="1"/>
      <w:marLeft w:val="0"/>
      <w:marRight w:val="0"/>
      <w:marTop w:val="0"/>
      <w:marBottom w:val="0"/>
      <w:divBdr>
        <w:top w:val="none" w:sz="0" w:space="0" w:color="auto"/>
        <w:left w:val="none" w:sz="0" w:space="0" w:color="auto"/>
        <w:bottom w:val="none" w:sz="0" w:space="0" w:color="auto"/>
        <w:right w:val="none" w:sz="0" w:space="0" w:color="auto"/>
      </w:divBdr>
      <w:divsChild>
        <w:div w:id="1771312050">
          <w:marLeft w:val="0"/>
          <w:marRight w:val="0"/>
          <w:marTop w:val="0"/>
          <w:marBottom w:val="0"/>
          <w:divBdr>
            <w:top w:val="none" w:sz="0" w:space="0" w:color="auto"/>
            <w:left w:val="single" w:sz="12" w:space="8" w:color="auto"/>
            <w:bottom w:val="none" w:sz="0" w:space="0" w:color="auto"/>
            <w:right w:val="none" w:sz="0" w:space="0" w:color="auto"/>
          </w:divBdr>
          <w:divsChild>
            <w:div w:id="1311442674">
              <w:marLeft w:val="0"/>
              <w:marRight w:val="0"/>
              <w:marTop w:val="0"/>
              <w:marBottom w:val="0"/>
              <w:divBdr>
                <w:top w:val="none" w:sz="0" w:space="0" w:color="auto"/>
                <w:left w:val="none" w:sz="0" w:space="0" w:color="auto"/>
                <w:bottom w:val="none" w:sz="0" w:space="0" w:color="auto"/>
                <w:right w:val="none" w:sz="0" w:space="0" w:color="auto"/>
              </w:divBdr>
              <w:divsChild>
                <w:div w:id="606884428">
                  <w:marLeft w:val="0"/>
                  <w:marRight w:val="0"/>
                  <w:marTop w:val="0"/>
                  <w:marBottom w:val="0"/>
                  <w:divBdr>
                    <w:top w:val="none" w:sz="0" w:space="0" w:color="auto"/>
                    <w:left w:val="none" w:sz="0" w:space="0" w:color="auto"/>
                    <w:bottom w:val="none" w:sz="0" w:space="0" w:color="auto"/>
                    <w:right w:val="none" w:sz="0" w:space="0" w:color="auto"/>
                  </w:divBdr>
                  <w:divsChild>
                    <w:div w:id="135613002">
                      <w:marLeft w:val="0"/>
                      <w:marRight w:val="0"/>
                      <w:marTop w:val="0"/>
                      <w:marBottom w:val="0"/>
                      <w:divBdr>
                        <w:top w:val="none" w:sz="0" w:space="0" w:color="auto"/>
                        <w:left w:val="none" w:sz="0" w:space="0" w:color="auto"/>
                        <w:bottom w:val="none" w:sz="0" w:space="0" w:color="auto"/>
                        <w:right w:val="none" w:sz="0" w:space="0" w:color="auto"/>
                      </w:divBdr>
                      <w:divsChild>
                        <w:div w:id="1146044567">
                          <w:marLeft w:val="0"/>
                          <w:marRight w:val="0"/>
                          <w:marTop w:val="0"/>
                          <w:marBottom w:val="0"/>
                          <w:divBdr>
                            <w:top w:val="none" w:sz="0" w:space="0" w:color="auto"/>
                            <w:left w:val="none" w:sz="0" w:space="0" w:color="auto"/>
                            <w:bottom w:val="none" w:sz="0" w:space="0" w:color="auto"/>
                            <w:right w:val="none" w:sz="0" w:space="0" w:color="auto"/>
                          </w:divBdr>
                          <w:divsChild>
                            <w:div w:id="888808752">
                              <w:marLeft w:val="0"/>
                              <w:marRight w:val="0"/>
                              <w:marTop w:val="0"/>
                              <w:marBottom w:val="0"/>
                              <w:divBdr>
                                <w:top w:val="none" w:sz="0" w:space="0" w:color="auto"/>
                                <w:left w:val="none" w:sz="0" w:space="0" w:color="auto"/>
                                <w:bottom w:val="none" w:sz="0" w:space="0" w:color="auto"/>
                                <w:right w:val="none" w:sz="0" w:space="0" w:color="auto"/>
                              </w:divBdr>
                              <w:divsChild>
                                <w:div w:id="2130077688">
                                  <w:marLeft w:val="600"/>
                                  <w:marRight w:val="600"/>
                                  <w:marTop w:val="280"/>
                                  <w:marBottom w:val="280"/>
                                  <w:divBdr>
                                    <w:top w:val="none" w:sz="0" w:space="0" w:color="auto"/>
                                    <w:left w:val="none" w:sz="0" w:space="0" w:color="auto"/>
                                    <w:bottom w:val="none" w:sz="0" w:space="0" w:color="auto"/>
                                    <w:right w:val="none" w:sz="0" w:space="0" w:color="auto"/>
                                  </w:divBdr>
                                  <w:divsChild>
                                    <w:div w:id="257712225">
                                      <w:marLeft w:val="0"/>
                                      <w:marRight w:val="0"/>
                                      <w:marTop w:val="0"/>
                                      <w:marBottom w:val="0"/>
                                      <w:divBdr>
                                        <w:top w:val="none" w:sz="0" w:space="0" w:color="auto"/>
                                        <w:left w:val="none" w:sz="0" w:space="0" w:color="auto"/>
                                        <w:bottom w:val="none" w:sz="0" w:space="0" w:color="auto"/>
                                        <w:right w:val="none" w:sz="0" w:space="0" w:color="auto"/>
                                      </w:divBdr>
                                      <w:divsChild>
                                        <w:div w:id="1101099663">
                                          <w:marLeft w:val="0"/>
                                          <w:marRight w:val="0"/>
                                          <w:marTop w:val="0"/>
                                          <w:marBottom w:val="0"/>
                                          <w:divBdr>
                                            <w:top w:val="none" w:sz="0" w:space="0" w:color="auto"/>
                                            <w:left w:val="none" w:sz="0" w:space="0" w:color="auto"/>
                                            <w:bottom w:val="none" w:sz="0" w:space="0" w:color="auto"/>
                                            <w:right w:val="none" w:sz="0" w:space="0" w:color="auto"/>
                                          </w:divBdr>
                                          <w:divsChild>
                                            <w:div w:id="454711334">
                                              <w:marLeft w:val="0"/>
                                              <w:marRight w:val="0"/>
                                              <w:marTop w:val="0"/>
                                              <w:marBottom w:val="0"/>
                                              <w:divBdr>
                                                <w:top w:val="none" w:sz="0" w:space="0" w:color="auto"/>
                                                <w:left w:val="none" w:sz="0" w:space="0" w:color="auto"/>
                                                <w:bottom w:val="none" w:sz="0" w:space="0" w:color="auto"/>
                                                <w:right w:val="none" w:sz="0" w:space="0" w:color="auto"/>
                                              </w:divBdr>
                                              <w:divsChild>
                                                <w:div w:id="95250497">
                                                  <w:marLeft w:val="0"/>
                                                  <w:marRight w:val="0"/>
                                                  <w:marTop w:val="0"/>
                                                  <w:marBottom w:val="0"/>
                                                  <w:divBdr>
                                                    <w:top w:val="none" w:sz="0" w:space="0" w:color="auto"/>
                                                    <w:left w:val="none" w:sz="0" w:space="0" w:color="auto"/>
                                                    <w:bottom w:val="none" w:sz="0" w:space="0" w:color="auto"/>
                                                    <w:right w:val="none" w:sz="0" w:space="0" w:color="auto"/>
                                                  </w:divBdr>
                                                  <w:divsChild>
                                                    <w:div w:id="796410301">
                                                      <w:marLeft w:val="0"/>
                                                      <w:marRight w:val="0"/>
                                                      <w:marTop w:val="0"/>
                                                      <w:marBottom w:val="0"/>
                                                      <w:divBdr>
                                                        <w:top w:val="none" w:sz="0" w:space="0" w:color="auto"/>
                                                        <w:left w:val="none" w:sz="0" w:space="0" w:color="auto"/>
                                                        <w:bottom w:val="none" w:sz="0" w:space="0" w:color="auto"/>
                                                        <w:right w:val="none" w:sz="0" w:space="0" w:color="auto"/>
                                                      </w:divBdr>
                                                      <w:divsChild>
                                                        <w:div w:id="981810088">
                                                          <w:marLeft w:val="0"/>
                                                          <w:marRight w:val="0"/>
                                                          <w:marTop w:val="0"/>
                                                          <w:marBottom w:val="0"/>
                                                          <w:divBdr>
                                                            <w:top w:val="none" w:sz="0" w:space="0" w:color="auto"/>
                                                            <w:left w:val="none" w:sz="0" w:space="0" w:color="auto"/>
                                                            <w:bottom w:val="none" w:sz="0" w:space="0" w:color="auto"/>
                                                            <w:right w:val="none" w:sz="0" w:space="0" w:color="auto"/>
                                                          </w:divBdr>
                                                          <w:divsChild>
                                                            <w:div w:id="1098914075">
                                                              <w:marLeft w:val="0"/>
                                                              <w:marRight w:val="0"/>
                                                              <w:marTop w:val="0"/>
                                                              <w:marBottom w:val="0"/>
                                                              <w:divBdr>
                                                                <w:top w:val="none" w:sz="0" w:space="0" w:color="auto"/>
                                                                <w:left w:val="none" w:sz="0" w:space="0" w:color="auto"/>
                                                                <w:bottom w:val="none" w:sz="0" w:space="0" w:color="auto"/>
                                                                <w:right w:val="none" w:sz="0" w:space="0" w:color="auto"/>
                                                              </w:divBdr>
                                                              <w:divsChild>
                                                                <w:div w:id="1140807000">
                                                                  <w:marLeft w:val="0"/>
                                                                  <w:marRight w:val="0"/>
                                                                  <w:marTop w:val="0"/>
                                                                  <w:marBottom w:val="0"/>
                                                                  <w:divBdr>
                                                                    <w:top w:val="none" w:sz="0" w:space="0" w:color="auto"/>
                                                                    <w:left w:val="none" w:sz="0" w:space="0" w:color="auto"/>
                                                                    <w:bottom w:val="none" w:sz="0" w:space="0" w:color="auto"/>
                                                                    <w:right w:val="none" w:sz="0" w:space="0" w:color="auto"/>
                                                                  </w:divBdr>
                                                                  <w:divsChild>
                                                                    <w:div w:id="1218593685">
                                                                      <w:marLeft w:val="0"/>
                                                                      <w:marRight w:val="0"/>
                                                                      <w:marTop w:val="0"/>
                                                                      <w:marBottom w:val="0"/>
                                                                      <w:divBdr>
                                                                        <w:top w:val="none" w:sz="0" w:space="0" w:color="auto"/>
                                                                        <w:left w:val="none" w:sz="0" w:space="0" w:color="auto"/>
                                                                        <w:bottom w:val="none" w:sz="0" w:space="0" w:color="auto"/>
                                                                        <w:right w:val="none" w:sz="0" w:space="0" w:color="auto"/>
                                                                      </w:divBdr>
                                                                      <w:divsChild>
                                                                        <w:div w:id="169419663">
                                                                          <w:marLeft w:val="0"/>
                                                                          <w:marRight w:val="0"/>
                                                                          <w:marTop w:val="0"/>
                                                                          <w:marBottom w:val="0"/>
                                                                          <w:divBdr>
                                                                            <w:top w:val="none" w:sz="0" w:space="0" w:color="auto"/>
                                                                            <w:left w:val="none" w:sz="0" w:space="0" w:color="auto"/>
                                                                            <w:bottom w:val="none" w:sz="0" w:space="0" w:color="auto"/>
                                                                            <w:right w:val="none" w:sz="0" w:space="0" w:color="auto"/>
                                                                          </w:divBdr>
                                                                          <w:divsChild>
                                                                            <w:div w:id="1190559716">
                                                                              <w:marLeft w:val="0"/>
                                                                              <w:marRight w:val="0"/>
                                                                              <w:marTop w:val="0"/>
                                                                              <w:marBottom w:val="0"/>
                                                                              <w:divBdr>
                                                                                <w:top w:val="none" w:sz="0" w:space="0" w:color="auto"/>
                                                                                <w:left w:val="none" w:sz="0" w:space="0" w:color="auto"/>
                                                                                <w:bottom w:val="none" w:sz="0" w:space="0" w:color="auto"/>
                                                                                <w:right w:val="none" w:sz="0" w:space="0" w:color="auto"/>
                                                                              </w:divBdr>
                                                                              <w:divsChild>
                                                                                <w:div w:id="1129469022">
                                                                                  <w:marLeft w:val="600"/>
                                                                                  <w:marRight w:val="600"/>
                                                                                  <w:marTop w:val="280"/>
                                                                                  <w:marBottom w:val="280"/>
                                                                                  <w:divBdr>
                                                                                    <w:top w:val="none" w:sz="0" w:space="0" w:color="auto"/>
                                                                                    <w:left w:val="none" w:sz="0" w:space="0" w:color="auto"/>
                                                                                    <w:bottom w:val="none" w:sz="0" w:space="0" w:color="auto"/>
                                                                                    <w:right w:val="none" w:sz="0" w:space="0" w:color="auto"/>
                                                                                  </w:divBdr>
                                                                                  <w:divsChild>
                                                                                    <w:div w:id="418912573">
                                                                                      <w:marLeft w:val="0"/>
                                                                                      <w:marRight w:val="0"/>
                                                                                      <w:marTop w:val="0"/>
                                                                                      <w:marBottom w:val="0"/>
                                                                                      <w:divBdr>
                                                                                        <w:top w:val="none" w:sz="0" w:space="0" w:color="auto"/>
                                                                                        <w:left w:val="none" w:sz="0" w:space="0" w:color="auto"/>
                                                                                        <w:bottom w:val="none" w:sz="0" w:space="0" w:color="auto"/>
                                                                                        <w:right w:val="none" w:sz="0" w:space="0" w:color="auto"/>
                                                                                      </w:divBdr>
                                                                                      <w:divsChild>
                                                                                        <w:div w:id="856505275">
                                                                                          <w:marLeft w:val="0"/>
                                                                                          <w:marRight w:val="0"/>
                                                                                          <w:marTop w:val="0"/>
                                                                                          <w:marBottom w:val="0"/>
                                                                                          <w:divBdr>
                                                                                            <w:top w:val="none" w:sz="0" w:space="0" w:color="auto"/>
                                                                                            <w:left w:val="none" w:sz="0" w:space="0" w:color="auto"/>
                                                                                            <w:bottom w:val="none" w:sz="0" w:space="0" w:color="auto"/>
                                                                                            <w:right w:val="none" w:sz="0" w:space="0" w:color="auto"/>
                                                                                          </w:divBdr>
                                                                                          <w:divsChild>
                                                                                            <w:div w:id="779187204">
                                                                                              <w:marLeft w:val="0"/>
                                                                                              <w:marRight w:val="0"/>
                                                                                              <w:marTop w:val="0"/>
                                                                                              <w:marBottom w:val="0"/>
                                                                                              <w:divBdr>
                                                                                                <w:top w:val="none" w:sz="0" w:space="0" w:color="auto"/>
                                                                                                <w:left w:val="none" w:sz="0" w:space="0" w:color="auto"/>
                                                                                                <w:bottom w:val="none" w:sz="0" w:space="0" w:color="auto"/>
                                                                                                <w:right w:val="none" w:sz="0" w:space="0" w:color="auto"/>
                                                                                              </w:divBdr>
                                                                                            </w:div>
                                                                                            <w:div w:id="1808206686">
                                                                                              <w:marLeft w:val="0"/>
                                                                                              <w:marRight w:val="0"/>
                                                                                              <w:marTop w:val="0"/>
                                                                                              <w:marBottom w:val="0"/>
                                                                                              <w:divBdr>
                                                                                                <w:top w:val="none" w:sz="0" w:space="0" w:color="auto"/>
                                                                                                <w:left w:val="none" w:sz="0" w:space="0" w:color="auto"/>
                                                                                                <w:bottom w:val="none" w:sz="0" w:space="0" w:color="auto"/>
                                                                                                <w:right w:val="none" w:sz="0" w:space="0" w:color="auto"/>
                                                                                              </w:divBdr>
                                                                                            </w:div>
                                                                                            <w:div w:id="304627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492557">
      <w:bodyDiv w:val="1"/>
      <w:marLeft w:val="0"/>
      <w:marRight w:val="0"/>
      <w:marTop w:val="0"/>
      <w:marBottom w:val="0"/>
      <w:divBdr>
        <w:top w:val="none" w:sz="0" w:space="0" w:color="auto"/>
        <w:left w:val="none" w:sz="0" w:space="0" w:color="auto"/>
        <w:bottom w:val="none" w:sz="0" w:space="0" w:color="auto"/>
        <w:right w:val="none" w:sz="0" w:space="0" w:color="auto"/>
      </w:divBdr>
    </w:div>
    <w:div w:id="1405449885">
      <w:bodyDiv w:val="1"/>
      <w:marLeft w:val="0"/>
      <w:marRight w:val="0"/>
      <w:marTop w:val="0"/>
      <w:marBottom w:val="0"/>
      <w:divBdr>
        <w:top w:val="none" w:sz="0" w:space="0" w:color="auto"/>
        <w:left w:val="none" w:sz="0" w:space="0" w:color="auto"/>
        <w:bottom w:val="none" w:sz="0" w:space="0" w:color="auto"/>
        <w:right w:val="none" w:sz="0" w:space="0" w:color="auto"/>
      </w:divBdr>
      <w:divsChild>
        <w:div w:id="1754081470">
          <w:marLeft w:val="0"/>
          <w:marRight w:val="0"/>
          <w:marTop w:val="0"/>
          <w:marBottom w:val="0"/>
          <w:divBdr>
            <w:top w:val="none" w:sz="0" w:space="0" w:color="auto"/>
            <w:left w:val="none" w:sz="0" w:space="0" w:color="auto"/>
            <w:bottom w:val="none" w:sz="0" w:space="0" w:color="auto"/>
            <w:right w:val="none" w:sz="0" w:space="0" w:color="auto"/>
          </w:divBdr>
        </w:div>
        <w:div w:id="270162545">
          <w:marLeft w:val="0"/>
          <w:marRight w:val="0"/>
          <w:marTop w:val="0"/>
          <w:marBottom w:val="0"/>
          <w:divBdr>
            <w:top w:val="none" w:sz="0" w:space="0" w:color="auto"/>
            <w:left w:val="none" w:sz="0" w:space="0" w:color="auto"/>
            <w:bottom w:val="none" w:sz="0" w:space="0" w:color="auto"/>
            <w:right w:val="none" w:sz="0" w:space="0" w:color="auto"/>
          </w:divBdr>
        </w:div>
        <w:div w:id="986474228">
          <w:marLeft w:val="0"/>
          <w:marRight w:val="0"/>
          <w:marTop w:val="0"/>
          <w:marBottom w:val="0"/>
          <w:divBdr>
            <w:top w:val="none" w:sz="0" w:space="0" w:color="auto"/>
            <w:left w:val="none" w:sz="0" w:space="0" w:color="auto"/>
            <w:bottom w:val="none" w:sz="0" w:space="0" w:color="auto"/>
            <w:right w:val="none" w:sz="0" w:space="0" w:color="auto"/>
          </w:divBdr>
        </w:div>
      </w:divsChild>
    </w:div>
    <w:div w:id="1973555793">
      <w:bodyDiv w:val="1"/>
      <w:marLeft w:val="0"/>
      <w:marRight w:val="0"/>
      <w:marTop w:val="0"/>
      <w:marBottom w:val="0"/>
      <w:divBdr>
        <w:top w:val="none" w:sz="0" w:space="0" w:color="auto"/>
        <w:left w:val="none" w:sz="0" w:space="0" w:color="auto"/>
        <w:bottom w:val="none" w:sz="0" w:space="0" w:color="auto"/>
        <w:right w:val="none" w:sz="0" w:space="0" w:color="auto"/>
      </w:divBdr>
      <w:divsChild>
        <w:div w:id="897669172">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androfanglab.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noad100.com" TargetMode="External"/><Relationship Id="rId4" Type="http://schemas.openxmlformats.org/officeDocument/2006/relationships/webSettings" Target="webSettings.xml"/><Relationship Id="rId9" Type="http://schemas.openxmlformats.org/officeDocument/2006/relationships/hyperlink" Target="http://www.noage100.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351E1A-53EC-4AC9-9600-838272C17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904</Words>
  <Characters>5155</Characters>
  <Application>Microsoft Office Word</Application>
  <DocSecurity>0</DocSecurity>
  <Lines>42</Lines>
  <Paragraphs>12</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UniTargetingResearch AS</Company>
  <LinksUpToDate>false</LinksUpToDate>
  <CharactersWithSpaces>6047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Beate Stern</dc:creator>
  <cp:keywords/>
  <dc:description/>
  <cp:lastModifiedBy>Fei Fang-Stavem</cp:lastModifiedBy>
  <cp:revision>4</cp:revision>
  <cp:lastPrinted>2020-10-07T18:09:00Z</cp:lastPrinted>
  <dcterms:created xsi:type="dcterms:W3CDTF">2026-06-09T03:49:00Z</dcterms:created>
  <dcterms:modified xsi:type="dcterms:W3CDTF">2026-06-09T04:05:00Z</dcterms:modified>
</cp:coreProperties>
</file>